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F3A17F">
      <w:pPr>
        <w:rPr>
          <w:rFonts w:hint="eastAsia" w:ascii="Times New Roman" w:hAnsi="Times New Roman" w:cs="Times New Roman"/>
          <w:sz w:val="24"/>
        </w:rPr>
      </w:pPr>
      <w:bookmarkStart w:id="0" w:name="_GoBack"/>
      <w:bookmarkEnd w:id="0"/>
      <w:r>
        <w:rPr>
          <w:rFonts w:hint="eastAsia" w:ascii="Times New Roman" w:hAnsi="Times New Roman" w:cs="Times New Roman"/>
          <w:sz w:val="24"/>
          <w:lang w:val="en-US" w:eastAsia="zh-CN"/>
        </w:rPr>
        <w:t xml:space="preserve">1. </w:t>
      </w:r>
      <w:r>
        <w:rPr>
          <w:rFonts w:hint="eastAsia" w:ascii="Times New Roman" w:hAnsi="Times New Roman" w:cs="Times New Roman"/>
          <w:sz w:val="24"/>
        </w:rPr>
        <w:t>企业跨区域合作创新（</w:t>
      </w:r>
      <m:oMath>
        <m:r>
          <m:rPr>
            <m:nor/>
          </m:rPr>
          <w:rPr>
            <w:rFonts w:hint="eastAsia" w:ascii="Times New Roman" w:hAnsi="Times New Roman" w:cs="Times New Roman"/>
            <w:i/>
            <w:iCs/>
            <w:sz w:val="24"/>
          </w:rPr>
          <m:t>Cinnov</m:t>
        </m:r>
      </m:oMath>
      <w:r>
        <w:rPr>
          <w:rFonts w:hint="eastAsia" w:ascii="Times New Roman" w:hAnsi="Times New Roman" w:cs="Times New Roman"/>
          <w:sz w:val="24"/>
        </w:rPr>
        <w:t>）</w:t>
      </w:r>
    </w:p>
    <w:p w14:paraId="7C1DE560">
      <w:pPr>
        <w:rPr>
          <w:rFonts w:hint="default" w:ascii="Times New Roman" w:hAnsi="Times New Roman" w:cs="Times New Roman" w:eastAsiaTheme="minorEastAsia"/>
          <w:sz w:val="24"/>
          <w:lang w:val="en-US" w:eastAsia="zh-CN"/>
        </w:rPr>
      </w:pPr>
      <w:r>
        <w:rPr>
          <w:rFonts w:hint="eastAsia" w:ascii="Times New Roman" w:hAnsi="Times New Roman" w:cs="Times New Roman"/>
          <w:sz w:val="24"/>
          <w:lang w:val="en-US" w:eastAsia="zh-CN"/>
        </w:rPr>
        <w:t>来源：</w:t>
      </w:r>
      <w:r>
        <w:rPr>
          <w:rFonts w:hint="eastAsia" w:ascii="Times New Roman" w:hAnsi="Times New Roman" w:cs="Times New Roman"/>
          <w:sz w:val="24"/>
        </w:rPr>
        <w:t>国家知识产权局</w:t>
      </w:r>
      <w:r>
        <w:rPr>
          <w:rFonts w:hint="eastAsia" w:ascii="Times New Roman" w:hAnsi="Times New Roman" w:cs="Times New Roman"/>
          <w:sz w:val="24"/>
          <w:lang w:val="en-US" w:eastAsia="zh-CN"/>
        </w:rPr>
        <w:t>官网</w:t>
      </w:r>
      <w:r>
        <w:rPr>
          <w:rFonts w:hint="eastAsia" w:ascii="Times New Roman" w:hAnsi="Times New Roman" w:cs="Times New Roman"/>
          <w:sz w:val="24"/>
        </w:rPr>
        <w:t>公布的专利申请数据</w:t>
      </w:r>
      <w:r>
        <w:rPr>
          <w:rFonts w:hint="eastAsia" w:ascii="Times New Roman" w:hAnsi="Times New Roman" w:cs="Times New Roman"/>
          <w:sz w:val="24"/>
          <w:lang w:val="en-US" w:eastAsia="zh-CN"/>
        </w:rPr>
        <w:t>以及CNRDS数据库进行对照</w:t>
      </w:r>
    </w:p>
    <w:p w14:paraId="176AAC33">
      <w:pPr>
        <w:rPr>
          <w:rFonts w:hint="eastAsia" w:ascii="Times New Roman" w:hAnsi="Times New Roman" w:cs="Times New Roman"/>
          <w:sz w:val="24"/>
          <w:lang w:val="en-US" w:eastAsia="zh-CN"/>
        </w:rPr>
      </w:pPr>
      <w:r>
        <w:rPr>
          <w:rFonts w:hint="eastAsia" w:ascii="Times New Roman" w:hAnsi="Times New Roman" w:cs="Times New Roman"/>
          <w:sz w:val="24"/>
          <w:lang w:val="en-US" w:eastAsia="zh-CN"/>
        </w:rPr>
        <w:t>采集方式：在专利检索及分析系统中导出专利信息</w:t>
      </w:r>
    </w:p>
    <w:p w14:paraId="0EB2D15A">
      <w:pPr>
        <w:rPr>
          <w:rFonts w:hint="eastAsia" w:ascii="Times New Roman" w:hAnsi="Times New Roman" w:cs="Times New Roman"/>
          <w:color w:val="auto"/>
          <w:sz w:val="24"/>
        </w:rPr>
      </w:pPr>
      <w:r>
        <w:rPr>
          <w:rFonts w:hint="eastAsia" w:ascii="Times New Roman" w:hAnsi="Times New Roman" w:cs="Times New Roman"/>
          <w:sz w:val="24"/>
          <w:lang w:val="en-US" w:eastAsia="zh-CN"/>
        </w:rPr>
        <w:t>处理方法：</w:t>
      </w:r>
      <w:r>
        <w:rPr>
          <w:rFonts w:hint="eastAsia" w:ascii="Times New Roman" w:hAnsi="Times New Roman" w:cs="Times New Roman"/>
          <w:color w:val="auto"/>
          <w:sz w:val="24"/>
        </w:rPr>
        <w:t>第一，样本筛选上，根据专利申请人信息剔除专利申请主体为居民个人以及企业独立申请的样本；第二，根据企业工商注册数据以及企查查、百度地图等辅助平台，识别专利申请主体的地级市归属；第三，若一项专利的共同申请主体归属于两个及以上的地级市，则根据专利申请日将该专利视为企业在当年的跨区域合作创新事件</w:t>
      </w:r>
      <w:r>
        <w:rPr>
          <w:rFonts w:hint="eastAsia" w:ascii="Times New Roman" w:hAnsi="Times New Roman" w:cs="Times New Roman"/>
          <w:color w:val="auto"/>
          <w:sz w:val="24"/>
        </w:rPr>
        <w:t>；第四，考虑到企业与子公司、联营公司、合营公司的联合申请专利更多体现为企业内部的合作，对这一部分的联合申请专利进行剔除。最后，指标构建上，</w:t>
      </w:r>
      <w:r>
        <w:rPr>
          <w:rFonts w:hint="eastAsia" w:ascii="Times New Roman" w:hAnsi="Times New Roman" w:cs="Times New Roman"/>
          <w:color w:val="auto"/>
          <w:sz w:val="24"/>
          <w:lang w:val="en-US" w:eastAsia="zh-CN"/>
        </w:rPr>
        <w:t>考虑到发明专利更能显现创新成果的质量与技术壁垒，</w:t>
      </w:r>
      <w:r>
        <w:rPr>
          <w:rFonts w:hint="eastAsia" w:ascii="Times New Roman" w:hAnsi="Times New Roman" w:cs="Times New Roman"/>
          <w:color w:val="auto"/>
          <w:sz w:val="24"/>
        </w:rPr>
        <w:t>本文</w:t>
      </w:r>
      <w:r>
        <w:rPr>
          <w:rFonts w:hint="eastAsia" w:ascii="Times New Roman" w:hAnsi="Times New Roman" w:cs="Times New Roman"/>
          <w:color w:val="auto"/>
          <w:sz w:val="24"/>
          <w:lang w:val="en-US" w:eastAsia="zh-CN"/>
        </w:rPr>
        <w:t>将</w:t>
      </w:r>
      <w:r>
        <w:rPr>
          <w:rFonts w:hint="eastAsia" w:ascii="Times New Roman" w:hAnsi="Times New Roman" w:cs="Times New Roman"/>
          <w:color w:val="auto"/>
          <w:sz w:val="24"/>
        </w:rPr>
        <w:t>企业当年跨区域联合</w:t>
      </w:r>
      <w:r>
        <w:rPr>
          <w:rFonts w:hint="eastAsia" w:ascii="Times New Roman" w:hAnsi="Times New Roman" w:cs="Times New Roman"/>
          <w:color w:val="auto"/>
          <w:sz w:val="24"/>
          <w:lang w:val="en-US" w:eastAsia="zh-CN"/>
        </w:rPr>
        <w:t>发明专利的申请量</w:t>
      </w:r>
      <w:r>
        <w:rPr>
          <w:rFonts w:hint="eastAsia" w:ascii="Times New Roman" w:hAnsi="Times New Roman" w:cs="Times New Roman"/>
          <w:color w:val="auto"/>
          <w:sz w:val="24"/>
        </w:rPr>
        <w:t>加1取对数</w:t>
      </w:r>
      <w:r>
        <w:rPr>
          <w:rFonts w:hint="eastAsia" w:ascii="Times New Roman" w:hAnsi="Times New Roman" w:cs="Times New Roman"/>
          <w:color w:val="auto"/>
          <w:sz w:val="24"/>
          <w:lang w:val="en-US" w:eastAsia="zh-CN"/>
        </w:rPr>
        <w:t>的值</w:t>
      </w:r>
      <w:r>
        <w:rPr>
          <w:rFonts w:hint="eastAsia" w:ascii="Times New Roman" w:hAnsi="Times New Roman" w:cs="Times New Roman"/>
          <w:color w:val="auto"/>
          <w:sz w:val="24"/>
        </w:rPr>
        <w:t>来</w:t>
      </w:r>
      <w:r>
        <w:rPr>
          <w:rFonts w:hint="eastAsia" w:ascii="Times New Roman" w:hAnsi="Times New Roman" w:cs="Times New Roman"/>
          <w:color w:val="auto"/>
          <w:sz w:val="24"/>
          <w:lang w:val="en-US" w:eastAsia="zh-CN"/>
        </w:rPr>
        <w:t>衡量</w:t>
      </w:r>
      <w:r>
        <w:rPr>
          <w:rFonts w:hint="eastAsia" w:ascii="Times New Roman" w:hAnsi="Times New Roman" w:cs="Times New Roman"/>
          <w:color w:val="auto"/>
          <w:sz w:val="24"/>
        </w:rPr>
        <w:t>跨区域合作创新</w:t>
      </w:r>
      <w:r>
        <w:rPr>
          <w:rFonts w:hint="eastAsia" w:ascii="Times New Roman" w:hAnsi="Times New Roman" w:cs="Times New Roman"/>
          <w:color w:val="auto"/>
          <w:sz w:val="24"/>
          <w:lang w:val="en-US" w:eastAsia="zh-CN"/>
        </w:rPr>
        <w:t>水平</w:t>
      </w:r>
    </w:p>
    <w:p w14:paraId="4DE8AB77">
      <w:pPr>
        <w:rPr>
          <w:rFonts w:hint="default" w:ascii="Times New Roman" w:hAnsi="Times New Roman" w:cs="Times New Roman" w:eastAsiaTheme="minorEastAsia"/>
          <w:color w:val="auto"/>
          <w:sz w:val="24"/>
          <w:lang w:val="en-US" w:eastAsia="zh-CN"/>
        </w:rPr>
      </w:pPr>
      <w:r>
        <w:rPr>
          <w:rFonts w:hint="eastAsia" w:ascii="Times New Roman" w:hAnsi="Times New Roman" w:cs="Times New Roman"/>
          <w:color w:val="auto"/>
          <w:sz w:val="24"/>
          <w:lang w:val="en-US" w:eastAsia="zh-CN"/>
        </w:rPr>
        <w:t>2. 科创走廊建设（</w:t>
      </w:r>
      <w:r>
        <w:rPr>
          <w:rFonts w:hint="eastAsia" w:ascii="Times New Roman" w:hAnsi="Times New Roman" w:cs="Times New Roman"/>
          <w:i/>
          <w:iCs/>
          <w:color w:val="auto"/>
          <w:sz w:val="24"/>
          <w:lang w:val="en-US" w:eastAsia="zh-CN"/>
        </w:rPr>
        <w:t>DID</w:t>
      </w:r>
      <w:r>
        <w:rPr>
          <w:rFonts w:hint="eastAsia" w:ascii="Times New Roman" w:hAnsi="Times New Roman" w:cs="Times New Roman"/>
          <w:color w:val="auto"/>
          <w:sz w:val="24"/>
          <w:lang w:val="en-US" w:eastAsia="zh-CN"/>
        </w:rPr>
        <w:t>）</w:t>
      </w:r>
    </w:p>
    <w:p w14:paraId="15B65DA0">
      <w:pPr>
        <w:rPr>
          <w:rFonts w:hint="eastAsia" w:ascii="Times New Roman" w:hAnsi="Times New Roman" w:cs="Times New Roman"/>
          <w:color w:val="auto"/>
          <w:sz w:val="24"/>
          <w:lang w:val="en-US" w:eastAsia="zh-CN"/>
        </w:rPr>
      </w:pPr>
      <w:r>
        <w:rPr>
          <w:rFonts w:hint="eastAsia" w:ascii="Times New Roman" w:hAnsi="Times New Roman" w:cs="Times New Roman"/>
          <w:color w:val="auto"/>
          <w:sz w:val="24"/>
          <w:lang w:val="en-US" w:eastAsia="zh-CN"/>
        </w:rPr>
        <w:t>来源：科创走廊建设的官方文件</w:t>
      </w:r>
    </w:p>
    <w:p w14:paraId="1E284C2A">
      <w:pPr>
        <w:rPr>
          <w:rFonts w:hint="eastAsia" w:ascii="Times New Roman" w:hAnsi="Times New Roman" w:cs="Times New Roman"/>
          <w:color w:val="auto"/>
          <w:sz w:val="24"/>
          <w:lang w:val="en-US" w:eastAsia="zh-CN"/>
        </w:rPr>
      </w:pPr>
      <w:r>
        <w:rPr>
          <w:rFonts w:hint="eastAsia" w:ascii="Times New Roman" w:hAnsi="Times New Roman" w:cs="Times New Roman"/>
          <w:color w:val="auto"/>
          <w:sz w:val="24"/>
          <w:lang w:val="en-US" w:eastAsia="zh-CN"/>
        </w:rPr>
        <w:t>采集方式：网络搜索政府官网</w:t>
      </w:r>
    </w:p>
    <w:p w14:paraId="4402A882">
      <w:pPr>
        <w:rPr>
          <w:rFonts w:hint="eastAsia" w:ascii="Times New Roman" w:hAnsi="Times New Roman" w:cs="Times New Roman"/>
          <w:color w:val="auto"/>
          <w:sz w:val="24"/>
          <w:lang w:val="en-US" w:eastAsia="zh-CN"/>
        </w:rPr>
      </w:pPr>
      <w:r>
        <w:rPr>
          <w:rFonts w:hint="eastAsia" w:ascii="Times New Roman" w:hAnsi="Times New Roman" w:cs="Times New Roman"/>
          <w:color w:val="auto"/>
          <w:sz w:val="24"/>
          <w:lang w:val="en-US" w:eastAsia="zh-CN"/>
        </w:rPr>
        <w:t>处理方法：确定参与科创走廊建设的城市名单及其对应年份，并进行0-1赋值</w:t>
      </w:r>
    </w:p>
    <w:p w14:paraId="3DD5E57F">
      <w:pPr>
        <w:rPr>
          <w:rFonts w:hint="eastAsia" w:ascii="Times New Roman" w:hAnsi="Times New Roman" w:cs="Times New Roman"/>
          <w:color w:val="auto"/>
          <w:sz w:val="24"/>
          <w:lang w:val="en-US" w:eastAsia="zh-CN"/>
        </w:rPr>
      </w:pPr>
      <w:r>
        <w:rPr>
          <w:rFonts w:hint="eastAsia" w:ascii="Times New Roman" w:hAnsi="Times New Roman" w:cs="Times New Roman"/>
          <w:color w:val="auto"/>
          <w:sz w:val="24"/>
          <w:lang w:val="en-US" w:eastAsia="zh-CN"/>
        </w:rPr>
        <w:t>3. 控制变量</w:t>
      </w:r>
    </w:p>
    <w:p w14:paraId="14045BEB">
      <w:pPr>
        <w:rPr>
          <w:rFonts w:hint="default" w:ascii="Times New Roman" w:hAnsi="Times New Roman" w:cs="Times New Roman"/>
          <w:color w:val="auto"/>
          <w:sz w:val="24"/>
          <w:lang w:val="en-US" w:eastAsia="zh-CN"/>
        </w:rPr>
      </w:pPr>
      <w:r>
        <w:rPr>
          <w:rFonts w:hint="eastAsia" w:ascii="Times New Roman" w:hAnsi="Times New Roman" w:cs="Times New Roman"/>
          <w:color w:val="auto"/>
          <w:sz w:val="24"/>
          <w:lang w:val="en-US" w:eastAsia="zh-CN"/>
        </w:rPr>
        <w:t>来源：CSMAR数据库和</w:t>
      </w:r>
      <w:r>
        <w:rPr>
          <w:rFonts w:hint="eastAsia" w:ascii="Times New Roman" w:hAnsi="Times New Roman" w:cs="Times New Roman"/>
          <w:sz w:val="24"/>
          <w:lang w:val="en-US" w:eastAsia="zh-CN"/>
        </w:rPr>
        <w:t>CNRDS数据库</w:t>
      </w:r>
    </w:p>
    <w:p w14:paraId="4FDDC5FD">
      <w:pPr>
        <w:rPr>
          <w:rFonts w:hint="eastAsia" w:ascii="Times New Roman" w:hAnsi="Times New Roman" w:cs="Times New Roman"/>
          <w:color w:val="auto"/>
          <w:sz w:val="24"/>
          <w:lang w:val="en-US" w:eastAsia="zh-CN"/>
        </w:rPr>
      </w:pPr>
      <w:r>
        <w:rPr>
          <w:rFonts w:hint="eastAsia" w:ascii="Times New Roman" w:hAnsi="Times New Roman" w:cs="Times New Roman"/>
          <w:color w:val="auto"/>
          <w:sz w:val="24"/>
          <w:lang w:val="en-US" w:eastAsia="zh-CN"/>
        </w:rPr>
        <w:t>采集方式：导出对应数据并匹配</w:t>
      </w:r>
    </w:p>
    <w:p w14:paraId="055B201C">
      <w:pPr>
        <w:rPr>
          <w:rFonts w:hint="eastAsia" w:ascii="Times New Roman" w:hAnsi="Times New Roman" w:cs="Times New Roman"/>
          <w:color w:val="auto"/>
          <w:sz w:val="24"/>
          <w:lang w:val="en-US" w:eastAsia="zh-CN"/>
        </w:rPr>
      </w:pPr>
      <w:r>
        <w:rPr>
          <w:rFonts w:hint="eastAsia" w:ascii="Times New Roman" w:hAnsi="Times New Roman" w:cs="Times New Roman"/>
          <w:color w:val="auto"/>
          <w:sz w:val="24"/>
          <w:lang w:val="en-US" w:eastAsia="zh-CN"/>
        </w:rPr>
        <w:t>处理方法：</w:t>
      </w:r>
    </w:p>
    <w:p w14:paraId="4E42B34D">
      <w:pPr>
        <w:rPr>
          <w:rFonts w:hint="eastAsia" w:ascii="Times New Roman" w:hAnsi="Times New Roman" w:cs="Times New Roman"/>
          <w:color w:val="auto"/>
          <w:sz w:val="24"/>
          <w:lang w:val="en-US" w:eastAsia="zh-CN"/>
        </w:rPr>
      </w:pPr>
      <w:r>
        <w:rPr>
          <w:rFonts w:hint="eastAsia" w:ascii="Times New Roman" w:hAnsi="Times New Roman" w:cs="Times New Roman"/>
          <w:color w:val="auto"/>
          <w:sz w:val="24"/>
          <w:lang w:val="en-US" w:eastAsia="zh-CN"/>
        </w:rPr>
        <w:t>企业层面：</w:t>
      </w:r>
      <w:r>
        <w:rPr>
          <w:rFonts w:hint="eastAsia" w:ascii="Times New Roman" w:hAnsi="Times New Roman" w:cs="Times New Roman"/>
          <w:color w:val="auto"/>
          <w:sz w:val="24"/>
        </w:rPr>
        <w:t>①企业规模（</w:t>
      </w:r>
      <w:r>
        <w:rPr>
          <w:rFonts w:hint="eastAsia" w:ascii="Times New Roman" w:hAnsi="Times New Roman" w:cs="Times New Roman"/>
          <w:i/>
          <w:iCs/>
          <w:color w:val="auto"/>
          <w:sz w:val="24"/>
        </w:rPr>
        <w:t>Size</w:t>
      </w:r>
      <w:r>
        <w:rPr>
          <w:rFonts w:hint="eastAsia" w:ascii="Times New Roman" w:hAnsi="Times New Roman" w:cs="Times New Roman"/>
          <w:color w:val="auto"/>
          <w:sz w:val="24"/>
        </w:rPr>
        <w:t>），</w:t>
      </w:r>
      <w:r>
        <w:rPr>
          <w:rFonts w:hint="eastAsia" w:ascii="Times New Roman" w:hAnsi="Times New Roman" w:cs="Times New Roman"/>
          <w:color w:val="auto"/>
          <w:sz w:val="24"/>
          <w:lang w:val="en-US" w:eastAsia="zh-CN"/>
        </w:rPr>
        <w:t>取</w:t>
      </w:r>
      <w:r>
        <w:rPr>
          <w:rFonts w:hint="eastAsia" w:ascii="Times New Roman" w:hAnsi="Times New Roman" w:cs="Times New Roman"/>
          <w:color w:val="auto"/>
          <w:sz w:val="24"/>
        </w:rPr>
        <w:t>总资产的自然对数；②资产负债率（</w:t>
      </w:r>
      <w:r>
        <w:rPr>
          <w:rFonts w:hint="eastAsia" w:ascii="Times New Roman" w:hAnsi="Times New Roman" w:cs="Times New Roman"/>
          <w:i/>
          <w:iCs/>
          <w:color w:val="auto"/>
          <w:sz w:val="24"/>
        </w:rPr>
        <w:t>Lev</w:t>
      </w:r>
      <w:r>
        <w:rPr>
          <w:rFonts w:hint="eastAsia" w:ascii="Times New Roman" w:hAnsi="Times New Roman" w:cs="Times New Roman"/>
          <w:color w:val="auto"/>
          <w:sz w:val="24"/>
        </w:rPr>
        <w:t>），以总负债和总资产的比值衡量；③盈利能力（</w:t>
      </w:r>
      <w:r>
        <w:rPr>
          <w:rFonts w:hint="eastAsia" w:ascii="Times New Roman" w:hAnsi="Times New Roman" w:cs="Times New Roman"/>
          <w:i/>
          <w:iCs/>
          <w:color w:val="auto"/>
          <w:sz w:val="24"/>
        </w:rPr>
        <w:t>Roe</w:t>
      </w:r>
      <w:r>
        <w:rPr>
          <w:rFonts w:hint="eastAsia" w:ascii="Times New Roman" w:hAnsi="Times New Roman" w:cs="Times New Roman"/>
          <w:color w:val="auto"/>
          <w:sz w:val="24"/>
        </w:rPr>
        <w:t>），以净资产收益率衡量；④成长能力（</w:t>
      </w:r>
      <w:r>
        <w:rPr>
          <w:rFonts w:hint="eastAsia" w:ascii="Times New Roman" w:hAnsi="Times New Roman" w:cs="Times New Roman"/>
          <w:i/>
          <w:iCs/>
          <w:color w:val="auto"/>
          <w:sz w:val="24"/>
        </w:rPr>
        <w:t>Growth</w:t>
      </w:r>
      <w:r>
        <w:rPr>
          <w:rFonts w:hint="eastAsia" w:ascii="Times New Roman" w:hAnsi="Times New Roman" w:cs="Times New Roman"/>
          <w:color w:val="auto"/>
          <w:sz w:val="24"/>
        </w:rPr>
        <w:t>），以营业收入增长率衡量；⑤董事规模（</w:t>
      </w:r>
      <w:r>
        <w:rPr>
          <w:rFonts w:hint="eastAsia" w:ascii="Times New Roman" w:hAnsi="Times New Roman" w:cs="Times New Roman"/>
          <w:i/>
          <w:iCs/>
          <w:color w:val="auto"/>
          <w:sz w:val="24"/>
        </w:rPr>
        <w:t>Board</w:t>
      </w:r>
      <w:r>
        <w:rPr>
          <w:rFonts w:hint="eastAsia" w:ascii="Times New Roman" w:hAnsi="Times New Roman" w:cs="Times New Roman"/>
          <w:color w:val="auto"/>
          <w:sz w:val="24"/>
        </w:rPr>
        <w:t>），</w:t>
      </w:r>
      <w:r>
        <w:rPr>
          <w:rFonts w:hint="eastAsia" w:ascii="Times New Roman" w:hAnsi="Times New Roman" w:cs="Times New Roman"/>
          <w:color w:val="auto"/>
          <w:sz w:val="24"/>
          <w:lang w:val="en-US" w:eastAsia="zh-CN"/>
        </w:rPr>
        <w:t>取</w:t>
      </w:r>
      <w:r>
        <w:rPr>
          <w:rFonts w:hint="eastAsia" w:ascii="Times New Roman" w:hAnsi="Times New Roman" w:cs="Times New Roman"/>
          <w:color w:val="auto"/>
          <w:sz w:val="24"/>
        </w:rPr>
        <w:t>董事会人数的自然对数；</w:t>
      </w:r>
      <w:r>
        <w:rPr>
          <w:rFonts w:hint="eastAsia" w:ascii="Times New Roman" w:hAnsi="Times New Roman" w:cs="Times New Roman"/>
          <w:color w:val="auto"/>
          <w:sz w:val="24"/>
          <w:lang w:val="en-US" w:eastAsia="zh-CN"/>
        </w:rPr>
        <w:t>⑥</w:t>
      </w:r>
      <w:r>
        <w:rPr>
          <w:rFonts w:hint="eastAsia" w:ascii="Times New Roman" w:hAnsi="Times New Roman" w:cs="Times New Roman"/>
          <w:color w:val="auto"/>
          <w:sz w:val="24"/>
        </w:rPr>
        <w:t>企业价值（</w:t>
      </w:r>
      <w:r>
        <w:rPr>
          <w:rFonts w:hint="eastAsia" w:ascii="Times New Roman" w:hAnsi="Times New Roman" w:cs="Times New Roman"/>
          <w:i/>
          <w:iCs/>
          <w:color w:val="auto"/>
          <w:sz w:val="24"/>
        </w:rPr>
        <w:t>TobinQ</w:t>
      </w:r>
      <w:r>
        <w:rPr>
          <w:rFonts w:hint="eastAsia" w:ascii="Times New Roman" w:hAnsi="Times New Roman" w:cs="Times New Roman"/>
          <w:color w:val="auto"/>
          <w:sz w:val="24"/>
        </w:rPr>
        <w:t>），以托宾Q值衡量</w:t>
      </w:r>
      <w:r>
        <w:rPr>
          <w:rFonts w:hint="eastAsia" w:ascii="Times New Roman" w:hAnsi="Times New Roman" w:cs="Times New Roman"/>
          <w:color w:val="auto"/>
          <w:sz w:val="24"/>
          <w:lang w:eastAsia="zh-CN"/>
        </w:rPr>
        <w:t>；</w:t>
      </w:r>
      <w:r>
        <w:rPr>
          <w:rFonts w:hint="eastAsia" w:ascii="Times New Roman" w:hAnsi="Times New Roman" w:cs="Times New Roman"/>
          <w:color w:val="auto"/>
          <w:sz w:val="24"/>
          <w:lang w:val="en-US" w:eastAsia="zh-CN"/>
        </w:rPr>
        <w:t>⑦产权性质（</w:t>
      </w:r>
      <w:r>
        <w:rPr>
          <w:rFonts w:hint="eastAsia" w:ascii="Times New Roman" w:hAnsi="Times New Roman" w:cs="Times New Roman"/>
          <w:i/>
          <w:iCs/>
          <w:color w:val="auto"/>
          <w:sz w:val="24"/>
          <w:lang w:val="en-US" w:eastAsia="zh-CN"/>
        </w:rPr>
        <w:t>Soe</w:t>
      </w:r>
      <w:r>
        <w:rPr>
          <w:rFonts w:hint="eastAsia" w:ascii="Times New Roman" w:hAnsi="Times New Roman" w:cs="Times New Roman"/>
          <w:color w:val="auto"/>
          <w:sz w:val="24"/>
          <w:lang w:val="en-US" w:eastAsia="zh-CN"/>
        </w:rPr>
        <w:t>），国有企业取1，非国有企业取0；⑧企业年龄（</w:t>
      </w:r>
      <w:r>
        <w:rPr>
          <w:rFonts w:hint="eastAsia" w:ascii="Times New Roman" w:hAnsi="Times New Roman" w:cs="Times New Roman"/>
          <w:i/>
          <w:iCs/>
          <w:color w:val="auto"/>
          <w:sz w:val="24"/>
          <w:lang w:val="en-US" w:eastAsia="zh-CN"/>
        </w:rPr>
        <w:t>Age</w:t>
      </w:r>
      <w:r>
        <w:rPr>
          <w:rFonts w:hint="eastAsia" w:ascii="Times New Roman" w:hAnsi="Times New Roman" w:cs="Times New Roman"/>
          <w:color w:val="auto"/>
          <w:sz w:val="24"/>
          <w:lang w:val="en-US" w:eastAsia="zh-CN"/>
        </w:rPr>
        <w:t>），取企业成立年限的自然对数；⑨两职合一（</w:t>
      </w:r>
      <w:r>
        <w:rPr>
          <w:rFonts w:hint="eastAsia" w:ascii="Times New Roman" w:hAnsi="Times New Roman" w:cs="Times New Roman"/>
          <w:i/>
          <w:iCs/>
          <w:color w:val="auto"/>
          <w:sz w:val="24"/>
          <w:lang w:val="en-US" w:eastAsia="zh-CN"/>
        </w:rPr>
        <w:t>Dual</w:t>
      </w:r>
      <w:r>
        <w:rPr>
          <w:rFonts w:hint="eastAsia" w:ascii="Times New Roman" w:hAnsi="Times New Roman" w:cs="Times New Roman"/>
          <w:color w:val="auto"/>
          <w:sz w:val="24"/>
          <w:lang w:val="en-US" w:eastAsia="zh-CN"/>
        </w:rPr>
        <w:t>），若董事长和总经理为同一人取1，否则为0</w:t>
      </w:r>
    </w:p>
    <w:p w14:paraId="01E2CE67">
      <w:pPr>
        <w:rPr>
          <w:rFonts w:hint="eastAsia" w:ascii="Times New Roman" w:hAnsi="Times New Roman" w:cs="Times New Roman"/>
          <w:color w:val="auto"/>
          <w:sz w:val="24"/>
        </w:rPr>
      </w:pPr>
      <w:r>
        <w:rPr>
          <w:rFonts w:hint="eastAsia" w:ascii="Times New Roman" w:hAnsi="Times New Roman" w:cs="Times New Roman"/>
          <w:color w:val="auto"/>
          <w:sz w:val="24"/>
          <w:lang w:val="en-US" w:eastAsia="zh-CN"/>
        </w:rPr>
        <w:t>城市层面：</w:t>
      </w:r>
      <w:r>
        <w:rPr>
          <w:rFonts w:hint="eastAsia" w:ascii="Times New Roman" w:hAnsi="Times New Roman" w:cs="Times New Roman"/>
          <w:color w:val="auto"/>
          <w:sz w:val="24"/>
        </w:rPr>
        <w:t>①人口密度（</w:t>
      </w:r>
      <w:r>
        <w:rPr>
          <w:rFonts w:ascii="Times New Roman" w:hAnsi="Times New Roman" w:cs="Times New Roman"/>
          <w:i/>
          <w:iCs/>
          <w:color w:val="auto"/>
          <w:sz w:val="24"/>
        </w:rPr>
        <w:t>P-density</w:t>
      </w:r>
      <w:r>
        <w:rPr>
          <w:rFonts w:hint="eastAsia" w:ascii="Times New Roman" w:hAnsi="Times New Roman" w:cs="Times New Roman"/>
          <w:color w:val="auto"/>
          <w:sz w:val="24"/>
        </w:rPr>
        <w:t>），</w:t>
      </w:r>
      <w:r>
        <w:rPr>
          <w:rFonts w:hint="eastAsia" w:ascii="Times New Roman" w:hAnsi="Times New Roman" w:cs="Times New Roman"/>
          <w:color w:val="auto"/>
          <w:sz w:val="24"/>
          <w:lang w:val="en-US" w:eastAsia="zh-CN"/>
        </w:rPr>
        <w:t>取</w:t>
      </w:r>
      <w:r>
        <w:rPr>
          <w:rFonts w:hint="eastAsia" w:ascii="Times New Roman" w:hAnsi="Times New Roman" w:cs="Times New Roman"/>
          <w:color w:val="auto"/>
          <w:sz w:val="24"/>
        </w:rPr>
        <w:t>地区户籍人口和行政区域面积的比值</w:t>
      </w:r>
      <w:r>
        <w:rPr>
          <w:rFonts w:hint="eastAsia" w:ascii="Times New Roman" w:hAnsi="Times New Roman" w:cs="Times New Roman"/>
          <w:color w:val="auto"/>
          <w:sz w:val="24"/>
          <w:lang w:val="en-US" w:eastAsia="zh-CN"/>
        </w:rPr>
        <w:t>的自然对数</w:t>
      </w:r>
      <w:r>
        <w:rPr>
          <w:rFonts w:hint="eastAsia" w:ascii="Times New Roman" w:hAnsi="Times New Roman" w:cs="Times New Roman"/>
          <w:color w:val="auto"/>
          <w:sz w:val="24"/>
        </w:rPr>
        <w:t>；②经济密度（</w:t>
      </w:r>
      <w:r>
        <w:rPr>
          <w:rFonts w:ascii="Times New Roman" w:hAnsi="Times New Roman" w:cs="Times New Roman"/>
          <w:i/>
          <w:iCs/>
          <w:color w:val="auto"/>
          <w:sz w:val="24"/>
        </w:rPr>
        <w:t>E-</w:t>
      </w:r>
      <w:r>
        <w:rPr>
          <w:rFonts w:hint="eastAsia" w:ascii="Times New Roman" w:hAnsi="Times New Roman" w:cs="Times New Roman"/>
          <w:i/>
          <w:iCs/>
          <w:color w:val="auto"/>
          <w:sz w:val="24"/>
        </w:rPr>
        <w:t>d</w:t>
      </w:r>
      <w:r>
        <w:rPr>
          <w:rFonts w:ascii="Times New Roman" w:hAnsi="Times New Roman" w:cs="Times New Roman"/>
          <w:i/>
          <w:iCs/>
          <w:color w:val="auto"/>
          <w:sz w:val="24"/>
        </w:rPr>
        <w:t>ensity</w:t>
      </w:r>
      <w:r>
        <w:rPr>
          <w:rFonts w:hint="eastAsia" w:ascii="Times New Roman" w:hAnsi="Times New Roman" w:cs="Times New Roman"/>
          <w:color w:val="auto"/>
          <w:sz w:val="24"/>
        </w:rPr>
        <w:t>），</w:t>
      </w:r>
      <w:r>
        <w:rPr>
          <w:rFonts w:hint="eastAsia" w:ascii="Times New Roman" w:hAnsi="Times New Roman" w:cs="Times New Roman"/>
          <w:color w:val="auto"/>
          <w:sz w:val="24"/>
          <w:lang w:val="en-US" w:eastAsia="zh-CN"/>
        </w:rPr>
        <w:t>取</w:t>
      </w:r>
      <w:r>
        <w:rPr>
          <w:rFonts w:hint="eastAsia" w:ascii="Times New Roman" w:hAnsi="Times New Roman" w:cs="Times New Roman"/>
          <w:color w:val="auto"/>
          <w:sz w:val="24"/>
        </w:rPr>
        <w:t>地区生产总值和行政区域面积的比值</w:t>
      </w:r>
      <w:r>
        <w:rPr>
          <w:rFonts w:hint="eastAsia" w:ascii="Times New Roman" w:hAnsi="Times New Roman" w:cs="Times New Roman"/>
          <w:color w:val="auto"/>
          <w:sz w:val="24"/>
          <w:lang w:val="en-US" w:eastAsia="zh-CN"/>
        </w:rPr>
        <w:t>的自然对数</w:t>
      </w:r>
      <w:r>
        <w:rPr>
          <w:rFonts w:hint="eastAsia" w:ascii="Times New Roman" w:hAnsi="Times New Roman" w:cs="Times New Roman"/>
          <w:color w:val="auto"/>
          <w:sz w:val="24"/>
        </w:rPr>
        <w:t>。</w:t>
      </w:r>
    </w:p>
    <w:p w14:paraId="19134F86">
      <w:pPr>
        <w:rPr>
          <w:rFonts w:hint="eastAsia" w:ascii="Times New Roman" w:hAnsi="Times New Roman" w:cs="Times New Roman"/>
          <w:color w:val="auto"/>
          <w:sz w:val="24"/>
          <w:lang w:val="en-US" w:eastAsia="zh-CN"/>
        </w:rPr>
      </w:pPr>
      <w:r>
        <w:rPr>
          <w:rFonts w:hint="eastAsia" w:ascii="Times New Roman" w:hAnsi="Times New Roman" w:cs="Times New Roman"/>
          <w:color w:val="auto"/>
          <w:sz w:val="24"/>
          <w:lang w:val="en-US" w:eastAsia="zh-CN"/>
        </w:rPr>
        <w:t>4. 排除同期政策干扰</w:t>
      </w:r>
    </w:p>
    <w:p w14:paraId="658097D2">
      <w:pPr>
        <w:rPr>
          <w:rFonts w:hint="eastAsia" w:ascii="Times New Roman" w:hAnsi="Times New Roman" w:cs="Times New Roman"/>
          <w:color w:val="auto"/>
          <w:sz w:val="24"/>
          <w:lang w:val="en-US" w:eastAsia="zh-CN"/>
        </w:rPr>
      </w:pPr>
      <w:r>
        <w:rPr>
          <w:rFonts w:hint="eastAsia" w:ascii="Times New Roman" w:hAnsi="Times New Roman" w:cs="Times New Roman"/>
          <w:color w:val="auto"/>
          <w:sz w:val="24"/>
          <w:lang w:val="en-US" w:eastAsia="zh-CN"/>
        </w:rPr>
        <w:t>来源：政策官方披露文件</w:t>
      </w:r>
    </w:p>
    <w:p w14:paraId="5F8392C8">
      <w:pPr>
        <w:rPr>
          <w:rFonts w:hint="eastAsia" w:ascii="Times New Roman" w:hAnsi="Times New Roman" w:cs="Times New Roman"/>
          <w:color w:val="auto"/>
          <w:sz w:val="24"/>
          <w:lang w:val="en-US" w:eastAsia="zh-CN"/>
        </w:rPr>
      </w:pPr>
      <w:r>
        <w:rPr>
          <w:rFonts w:hint="eastAsia" w:ascii="Times New Roman" w:hAnsi="Times New Roman" w:cs="Times New Roman"/>
          <w:color w:val="auto"/>
          <w:sz w:val="24"/>
          <w:lang w:val="en-US" w:eastAsia="zh-CN"/>
        </w:rPr>
        <w:t>采集方式：网络搜索政府官网</w:t>
      </w:r>
    </w:p>
    <w:p w14:paraId="5065912E">
      <w:pPr>
        <w:pStyle w:val="5"/>
        <w:snapToGrid w:val="0"/>
        <w:rPr>
          <w:rFonts w:hint="default" w:ascii="Times New Roman" w:hAnsi="Times New Roman" w:cs="Times New Roman" w:eastAsiaTheme="minorEastAsia"/>
          <w:color w:val="auto"/>
          <w:kern w:val="2"/>
          <w:sz w:val="24"/>
          <w:szCs w:val="24"/>
          <w:lang w:val="en-US" w:eastAsia="zh-CN" w:bidi="ar-SA"/>
        </w:rPr>
      </w:pPr>
      <w:r>
        <w:rPr>
          <w:rFonts w:hint="eastAsia" w:ascii="Times New Roman" w:hAnsi="Times New Roman" w:cs="Times New Roman"/>
          <w:color w:val="auto"/>
          <w:sz w:val="24"/>
          <w:lang w:val="en-US" w:eastAsia="zh-CN"/>
        </w:rPr>
        <w:t>处理方法：按城市在当年是否被纳入政策赋值0-</w:t>
      </w:r>
      <w:r>
        <w:rPr>
          <w:rFonts w:hint="eastAsia" w:ascii="Times New Roman" w:hAnsi="Times New Roman" w:cs="Times New Roman" w:eastAsiaTheme="minorEastAsia"/>
          <w:color w:val="auto"/>
          <w:kern w:val="2"/>
          <w:sz w:val="24"/>
          <w:szCs w:val="24"/>
          <w:lang w:val="en-US" w:eastAsia="zh-CN" w:bidi="ar-SA"/>
        </w:rPr>
        <w:t>1，依据为，</w:t>
      </w:r>
      <w:r>
        <w:rPr>
          <w:rFonts w:hint="default" w:ascii="Times New Roman" w:hAnsi="Times New Roman" w:cs="Times New Roman" w:eastAsiaTheme="minorEastAsia"/>
          <w:color w:val="auto"/>
          <w:kern w:val="2"/>
          <w:sz w:val="24"/>
          <w:szCs w:val="24"/>
          <w:lang w:val="en-US" w:eastAsia="zh-CN" w:bidi="ar-SA"/>
        </w:rPr>
        <w:t xml:space="preserve"> </w:t>
      </w:r>
    </w:p>
    <w:p w14:paraId="2442487C">
      <w:pPr>
        <w:pStyle w:val="5"/>
        <w:snapToGrid w:val="0"/>
        <w:rPr>
          <w:rFonts w:hint="default" w:ascii="Times New Roman" w:hAnsi="Times New Roman" w:cs="Times New Roman" w:eastAsiaTheme="minorEastAsia"/>
          <w:i w:val="0"/>
          <w:iCs w:val="0"/>
          <w:color w:val="auto"/>
          <w:kern w:val="2"/>
          <w:sz w:val="24"/>
          <w:szCs w:val="24"/>
          <w:lang w:val="en-US" w:eastAsia="zh-CN" w:bidi="ar-SA"/>
        </w:rPr>
      </w:pPr>
      <w:r>
        <w:rPr>
          <w:rFonts w:hint="eastAsia" w:ascii="Times New Roman" w:hAnsi="Times New Roman" w:cs="Times New Roman" w:eastAsiaTheme="minorEastAsia"/>
          <w:color w:val="auto"/>
          <w:kern w:val="2"/>
          <w:sz w:val="24"/>
          <w:szCs w:val="24"/>
          <w:lang w:val="en-US" w:eastAsia="zh-CN" w:bidi="ar-SA"/>
        </w:rPr>
        <w:t>①</w:t>
      </w:r>
      <w:r>
        <w:rPr>
          <w:rFonts w:hint="default" w:ascii="Times New Roman" w:hAnsi="Times New Roman" w:cs="Times New Roman" w:eastAsiaTheme="minorEastAsia"/>
          <w:color w:val="auto"/>
          <w:kern w:val="2"/>
          <w:sz w:val="24"/>
          <w:szCs w:val="24"/>
          <w:lang w:val="en-US" w:eastAsia="zh-CN" w:bidi="ar-SA"/>
        </w:rPr>
        <w:t>国</w:t>
      </w:r>
      <w:r>
        <w:rPr>
          <w:rFonts w:hint="default" w:ascii="Times New Roman" w:hAnsi="Times New Roman" w:cs="Times New Roman" w:eastAsiaTheme="minorEastAsia"/>
          <w:i w:val="0"/>
          <w:iCs w:val="0"/>
          <w:color w:val="auto"/>
          <w:kern w:val="2"/>
          <w:sz w:val="24"/>
          <w:szCs w:val="24"/>
          <w:lang w:val="en-US" w:eastAsia="zh-CN" w:bidi="ar-SA"/>
        </w:rPr>
        <w:t>家自主创新示范区是指经中华人民共和国国务院批准，在推进自主创新和高技术产业发展方面先行先试、探索经验、做出示范的区域。其中，长三角区域参与国家自主创新示范区的城市有：2014年，上海张江国家自主创新示范区设立，江苏苏南国家自主创新示范区设立，涉及南京、苏州、无锡、常州、昆山、江阴、武进等；2015年，杭州国家自主创新高新区设立；2018年，宁波、温州国家自主创新示范区设立。</w:t>
      </w:r>
    </w:p>
    <w:p w14:paraId="3AAECBBF">
      <w:pPr>
        <w:pStyle w:val="5"/>
        <w:snapToGrid w:val="0"/>
        <w:rPr>
          <w:rFonts w:hint="default" w:ascii="Times New Roman" w:hAnsi="Times New Roman" w:cs="Times New Roman" w:eastAsiaTheme="minorEastAsia"/>
          <w:i w:val="0"/>
          <w:iCs w:val="0"/>
          <w:color w:val="auto"/>
          <w:kern w:val="2"/>
          <w:sz w:val="24"/>
          <w:szCs w:val="24"/>
          <w:lang w:val="en-US" w:eastAsia="zh-CN" w:bidi="ar-SA"/>
        </w:rPr>
      </w:pPr>
      <w:r>
        <w:rPr>
          <w:rFonts w:hint="eastAsia" w:ascii="Times New Roman" w:hAnsi="Times New Roman" w:cs="Times New Roman"/>
          <w:i w:val="0"/>
          <w:iCs w:val="0"/>
          <w:color w:val="auto"/>
          <w:kern w:val="2"/>
          <w:sz w:val="24"/>
          <w:szCs w:val="24"/>
          <w:lang w:val="en-US" w:eastAsia="zh-CN" w:bidi="ar-SA"/>
        </w:rPr>
        <w:t>②</w:t>
      </w:r>
      <w:r>
        <w:rPr>
          <w:rFonts w:hint="eastAsia" w:ascii="Times New Roman" w:hAnsi="Times New Roman" w:cs="Times New Roman" w:eastAsiaTheme="minorEastAsia"/>
          <w:i w:val="0"/>
          <w:iCs w:val="0"/>
          <w:color w:val="auto"/>
          <w:kern w:val="2"/>
          <w:sz w:val="24"/>
          <w:szCs w:val="24"/>
          <w:lang w:val="en-US" w:eastAsia="zh-CN" w:bidi="ar-SA"/>
        </w:rPr>
        <w:t>全面创新改革试验区以推动科技创新为核心，以破除体制机制障碍为主攻方向，重点推进科技创新、军民融合等领域改革。其中，长三角区域参与全面创新改革试验区的城市有：2015年，上海、合肥、芜湖、蚌埠；2021年，南京、无锡、徐州、常州、苏州、南通、连云港、淮安、盐城、扬州、镇江、泰州、宿迁、杭州、宁波、温州、嘉兴、湖州、绍兴、金华、衢州、舟山、台州、丽水。</w:t>
      </w:r>
    </w:p>
    <w:p w14:paraId="700369C8">
      <w:pPr>
        <w:pStyle w:val="5"/>
        <w:snapToGrid w:val="0"/>
        <w:rPr>
          <w:rFonts w:hint="default" w:ascii="Times New Roman" w:hAnsi="Times New Roman" w:cs="Times New Roman" w:eastAsiaTheme="minorEastAsia"/>
          <w:i w:val="0"/>
          <w:iCs w:val="0"/>
          <w:color w:val="auto"/>
          <w:kern w:val="2"/>
          <w:sz w:val="24"/>
          <w:szCs w:val="24"/>
          <w:lang w:val="en-US" w:eastAsia="zh-CN" w:bidi="ar-SA"/>
        </w:rPr>
      </w:pPr>
      <w:r>
        <w:rPr>
          <w:rFonts w:hint="eastAsia" w:ascii="Times New Roman" w:hAnsi="Times New Roman" w:cs="Times New Roman"/>
          <w:i w:val="0"/>
          <w:iCs w:val="0"/>
          <w:color w:val="auto"/>
          <w:kern w:val="2"/>
          <w:sz w:val="24"/>
          <w:szCs w:val="24"/>
          <w:lang w:val="en-US" w:eastAsia="zh-CN" w:bidi="ar-SA"/>
        </w:rPr>
        <w:t>③</w:t>
      </w:r>
      <w:r>
        <w:rPr>
          <w:rFonts w:hint="eastAsia" w:ascii="Times New Roman" w:hAnsi="Times New Roman" w:cs="Times New Roman" w:eastAsiaTheme="minorEastAsia"/>
          <w:i w:val="0"/>
          <w:iCs w:val="0"/>
          <w:color w:val="auto"/>
          <w:kern w:val="2"/>
          <w:sz w:val="24"/>
          <w:szCs w:val="24"/>
          <w:lang w:val="en-US" w:eastAsia="zh-CN" w:bidi="ar-SA"/>
        </w:rPr>
        <w:t>创新型城市是指主要依靠科技、知识、人力、文化、体制等创新要素驱动发展的城市，对其它区域具有高端辐射与引领作用。其中，长三角区域参与创新型城市试点建设的城市有：2010年，上海、南京、常州、无锡、苏州、宁波、嘉兴、杭州、合肥；2011年，镇江、连云港；2012年，南通；2013年，泰州、扬州、盐城、湖州；2017年，绍兴、徐州、金华、马鞍山、芜湖；2022年，宿迁、淮安、温州、台州、滁州、蚌埠、铜陵。</w:t>
      </w:r>
    </w:p>
    <w:p w14:paraId="6B30F1AA">
      <w:pPr>
        <w:pStyle w:val="5"/>
        <w:snapToGrid w:val="0"/>
        <w:rPr>
          <w:rFonts w:hint="default" w:ascii="Times New Roman" w:hAnsi="Times New Roman" w:cs="Times New Roman" w:eastAsiaTheme="minorEastAsia"/>
          <w:i w:val="0"/>
          <w:iCs w:val="0"/>
          <w:color w:val="auto"/>
          <w:kern w:val="2"/>
          <w:sz w:val="24"/>
          <w:szCs w:val="24"/>
          <w:lang w:val="en-US" w:eastAsia="zh-CN" w:bidi="ar-SA"/>
        </w:rPr>
      </w:pPr>
      <w:r>
        <w:rPr>
          <w:rFonts w:hint="eastAsia" w:ascii="Times New Roman" w:hAnsi="Times New Roman" w:cs="Times New Roman"/>
          <w:i w:val="0"/>
          <w:iCs w:val="0"/>
          <w:color w:val="auto"/>
          <w:kern w:val="2"/>
          <w:sz w:val="24"/>
          <w:szCs w:val="24"/>
          <w:lang w:val="en-US" w:eastAsia="zh-CN" w:bidi="ar-SA"/>
        </w:rPr>
        <w:t>④</w:t>
      </w:r>
      <w:r>
        <w:rPr>
          <w:rFonts w:hint="eastAsia" w:ascii="Times New Roman" w:hAnsi="Times New Roman" w:cs="Times New Roman" w:eastAsiaTheme="minorEastAsia"/>
          <w:i w:val="0"/>
          <w:iCs w:val="0"/>
          <w:color w:val="auto"/>
          <w:kern w:val="2"/>
          <w:sz w:val="24"/>
          <w:szCs w:val="24"/>
          <w:lang w:val="en-US" w:eastAsia="zh-CN" w:bidi="ar-SA"/>
        </w:rPr>
        <w:t>自贸试验区指在中国境内设立以制度创新为核心的经济功能区，实行“境内关外”管理模式，推动贸易便利化、投资自由化和金融国际化。其中，长三角区域涉及自贸试验区的城市有：2013年，上海；2017年，舟山；2019年，南京、苏州、连云港；2020年，合肥、芜湖、蚌埠、杭州、宁波、金华。</w:t>
      </w:r>
    </w:p>
    <w:p w14:paraId="480516CD">
      <w:pPr>
        <w:rPr>
          <w:rFonts w:hint="eastAsia" w:ascii="Times New Roman" w:hAnsi="Times New Roman" w:cs="Times New Roman"/>
          <w:color w:val="auto"/>
          <w:sz w:val="24"/>
          <w:lang w:val="en-US" w:eastAsia="zh-CN"/>
        </w:rPr>
      </w:pPr>
      <w:r>
        <w:rPr>
          <w:rFonts w:hint="eastAsia" w:ascii="Times New Roman" w:hAnsi="Times New Roman" w:cs="Times New Roman"/>
          <w:color w:val="auto"/>
          <w:sz w:val="24"/>
          <w:lang w:val="en-US" w:eastAsia="zh-CN"/>
        </w:rPr>
        <w:t>5. 双反曲正弦转换</w:t>
      </w:r>
    </w:p>
    <w:p w14:paraId="64314681">
      <w:pPr>
        <w:rPr>
          <w:rFonts w:hint="eastAsia" w:ascii="Times New Roman" w:hAnsi="Times New Roman" w:cs="Times New Roman"/>
          <w:color w:val="auto"/>
          <w:sz w:val="24"/>
          <w:lang w:val="en-US" w:eastAsia="zh-CN"/>
        </w:rPr>
      </w:pPr>
      <w:r>
        <w:rPr>
          <w:rFonts w:hint="eastAsia" w:ascii="Times New Roman" w:hAnsi="Times New Roman" w:cs="Times New Roman"/>
          <w:color w:val="auto"/>
          <w:sz w:val="24"/>
          <w:lang w:val="en-US" w:eastAsia="zh-CN"/>
        </w:rPr>
        <w:t>来源：</w:t>
      </w:r>
      <w:r>
        <w:rPr>
          <w:rFonts w:hint="eastAsia" w:ascii="Times New Roman" w:hAnsi="Times New Roman" w:cs="Times New Roman"/>
          <w:color w:val="auto"/>
          <w:sz w:val="24"/>
        </w:rPr>
        <w:t>企业当年跨区域联合</w:t>
      </w:r>
      <w:r>
        <w:rPr>
          <w:rFonts w:hint="eastAsia" w:ascii="Times New Roman" w:hAnsi="Times New Roman" w:cs="Times New Roman"/>
          <w:color w:val="auto"/>
          <w:sz w:val="24"/>
          <w:lang w:val="en-US" w:eastAsia="zh-CN"/>
        </w:rPr>
        <w:t>发明专利的申请量</w:t>
      </w:r>
    </w:p>
    <w:p w14:paraId="465E6D63">
      <w:pPr>
        <w:rPr>
          <w:rFonts w:hint="default" w:ascii="Times New Roman" w:hAnsi="Times New Roman" w:cs="Times New Roman" w:eastAsiaTheme="minorEastAsia"/>
          <w:color w:val="auto"/>
          <w:sz w:val="24"/>
          <w:lang w:val="en-US" w:eastAsia="zh-CN"/>
        </w:rPr>
      </w:pPr>
      <w:r>
        <w:rPr>
          <w:rFonts w:hint="eastAsia" w:ascii="Times New Roman" w:hAnsi="Times New Roman" w:cs="Times New Roman"/>
          <w:color w:val="auto"/>
          <w:sz w:val="24"/>
          <w:lang w:val="en-US" w:eastAsia="zh-CN"/>
        </w:rPr>
        <w:t>采集方式：</w:t>
      </w:r>
      <w:r>
        <w:rPr>
          <w:rFonts w:hint="eastAsia" w:ascii="Times New Roman" w:hAnsi="Times New Roman" w:cs="Times New Roman"/>
          <w:sz w:val="24"/>
        </w:rPr>
        <w:t>企业跨区域合作创新（</w:t>
      </w:r>
      <m:oMath>
        <m:r>
          <m:rPr>
            <m:nor/>
          </m:rPr>
          <w:rPr>
            <w:rFonts w:hint="eastAsia" w:ascii="Times New Roman" w:hAnsi="Times New Roman" w:cs="Times New Roman"/>
            <w:i/>
            <w:iCs/>
            <w:sz w:val="24"/>
          </w:rPr>
          <m:t>Cinnov</m:t>
        </m:r>
      </m:oMath>
      <w:r>
        <w:rPr>
          <w:rFonts w:hint="eastAsia" w:ascii="Times New Roman" w:hAnsi="Times New Roman" w:cs="Times New Roman"/>
          <w:sz w:val="24"/>
        </w:rPr>
        <w:t>）</w:t>
      </w:r>
      <w:r>
        <w:rPr>
          <w:rFonts w:hint="eastAsia" w:ascii="Times New Roman" w:hAnsi="Times New Roman" w:cs="Times New Roman"/>
          <w:sz w:val="24"/>
          <w:lang w:val="en-US" w:eastAsia="zh-CN"/>
        </w:rPr>
        <w:t>中未加一取对数处理的值</w:t>
      </w:r>
    </w:p>
    <w:p w14:paraId="6D373CFE">
      <w:pPr>
        <m:rPr/>
        <w:rPr>
          <w:rFonts w:hint="eastAsia" w:hAnsi="Times New Roman" w:cs="Times New Roman"/>
          <w:i w:val="0"/>
          <w:iCs w:val="0"/>
          <w:color w:val="auto"/>
          <w:sz w:val="24"/>
          <w:lang w:val="en-US" w:eastAsia="zh-CN"/>
        </w:rPr>
      </w:pPr>
      <w:r>
        <w:rPr>
          <w:rFonts w:hint="eastAsia" w:ascii="Times New Roman" w:hAnsi="Times New Roman" w:cs="Times New Roman"/>
          <w:color w:val="auto"/>
          <w:sz w:val="24"/>
          <w:lang w:val="en-US" w:eastAsia="zh-CN"/>
        </w:rPr>
        <w:t>处理方法：按</w:t>
      </w:r>
      <m:oMath>
        <m:func>
          <m:funcPr>
            <m:ctrlPr>
              <w:rPr>
                <w:rFonts w:hint="default" w:ascii="Cambria Math" w:hAnsi="Cambria Math" w:cs="Times New Roman"/>
                <w:i/>
                <w:iCs w:val="0"/>
                <w:color w:val="auto"/>
                <w:sz w:val="24"/>
                <w:lang w:val="en-US"/>
              </w:rPr>
            </m:ctrlPr>
          </m:funcPr>
          <m:fName>
            <m:sSup>
              <m:sSupPr>
                <m:ctrlPr>
                  <w:rPr>
                    <w:rFonts w:hint="default" w:ascii="Cambria Math" w:hAnsi="Cambria Math" w:cs="Times New Roman"/>
                    <w:i/>
                    <w:iCs w:val="0"/>
                    <w:color w:val="auto"/>
                    <w:sz w:val="24"/>
                    <w:lang w:val="en-US"/>
                  </w:rPr>
                </m:ctrlPr>
              </m:sSupPr>
              <m:e>
                <m:r>
                  <m:rPr>
                    <m:nor/>
                  </m:rPr>
                  <w:rPr>
                    <w:rFonts w:hint="default" w:ascii="Times New Roman" w:hAnsi="Times New Roman" w:cs="Times New Roman"/>
                    <w:i/>
                    <w:iCs w:val="0"/>
                    <w:color w:val="auto"/>
                    <w:sz w:val="24"/>
                    <w:lang w:val="en-US"/>
                  </w:rPr>
                  <m:t>sin</m:t>
                </m:r>
                <m:r>
                  <m:rPr>
                    <m:nor/>
                    <m:sty m:val="p"/>
                  </m:rPr>
                  <w:rPr>
                    <w:rFonts w:hint="default" w:ascii="Times New Roman" w:hAnsi="Times New Roman" w:cs="Times New Roman"/>
                    <w:i w:val="0"/>
                    <w:iCs w:val="0"/>
                    <w:color w:val="auto"/>
                    <w:sz w:val="24"/>
                    <w:lang w:val="en-US"/>
                  </w:rPr>
                  <m:t>h</m:t>
                </m:r>
                <m:ctrlPr>
                  <w:rPr>
                    <w:rFonts w:hint="default" w:ascii="Cambria Math" w:hAnsi="Cambria Math" w:cs="Times New Roman"/>
                    <w:i/>
                    <w:iCs w:val="0"/>
                    <w:color w:val="auto"/>
                    <w:sz w:val="24"/>
                    <w:lang w:val="en-US"/>
                  </w:rPr>
                </m:ctrlPr>
              </m:e>
              <m:sup>
                <m:r>
                  <m:rPr>
                    <m:nor/>
                    <m:sty m:val="p"/>
                  </m:rPr>
                  <w:rPr>
                    <w:rFonts w:hint="default" w:ascii="Times New Roman" w:hAnsi="Times New Roman" w:cs="Times New Roman"/>
                    <w:i w:val="0"/>
                    <w:iCs w:val="0"/>
                    <w:color w:val="auto"/>
                    <w:sz w:val="24"/>
                    <w:lang w:val="en-US"/>
                  </w:rPr>
                  <m:t>−1</m:t>
                </m:r>
                <m:ctrlPr>
                  <w:rPr>
                    <w:rFonts w:hint="default" w:ascii="Cambria Math" w:hAnsi="Cambria Math" w:cs="Times New Roman"/>
                    <w:i/>
                    <w:iCs w:val="0"/>
                    <w:color w:val="auto"/>
                    <w:sz w:val="24"/>
                    <w:lang w:val="en-US"/>
                  </w:rPr>
                </m:ctrlPr>
              </m:sup>
            </m:sSup>
            <m:ctrlPr>
              <w:rPr>
                <w:rFonts w:hint="default" w:ascii="Cambria Math" w:hAnsi="Cambria Math" w:cs="Times New Roman"/>
                <w:i/>
                <w:iCs w:val="0"/>
                <w:color w:val="auto"/>
                <w:sz w:val="24"/>
                <w:lang w:val="en-US"/>
              </w:rPr>
            </m:ctrlPr>
          </m:fName>
          <m:e>
            <m:r>
              <m:rPr>
                <m:nor/>
                <m:sty m:val="p"/>
              </m:rPr>
              <w:rPr>
                <w:rFonts w:hint="default" w:ascii="Times New Roman" w:hAnsi="Times New Roman" w:cs="Times New Roman"/>
                <w:i w:val="0"/>
                <w:iCs w:val="0"/>
                <w:color w:val="auto"/>
                <w:sz w:val="24"/>
                <w:lang w:val="en-US" w:eastAsia="zh-CN"/>
              </w:rPr>
              <m:t>(</m:t>
            </m:r>
            <m:r>
              <m:rPr>
                <m:nor/>
              </m:rPr>
              <w:rPr>
                <w:rFonts w:hint="default" w:ascii="Times New Roman" w:hAnsi="Times New Roman" w:cs="Times New Roman"/>
                <w:i/>
                <w:iCs w:val="0"/>
                <w:color w:val="auto"/>
                <w:sz w:val="24"/>
                <w:lang w:val="en-US" w:eastAsia="zh-CN"/>
              </w:rPr>
              <m:t>x</m:t>
            </m:r>
            <m:r>
              <m:rPr>
                <m:nor/>
                <m:sty m:val="p"/>
              </m:rPr>
              <w:rPr>
                <w:rFonts w:hint="default" w:ascii="Times New Roman" w:hAnsi="Times New Roman" w:cs="Times New Roman"/>
                <w:i w:val="0"/>
                <w:iCs w:val="0"/>
                <w:color w:val="auto"/>
                <w:sz w:val="24"/>
                <w:lang w:val="en-US" w:eastAsia="zh-CN"/>
              </w:rPr>
              <m:t>)=</m:t>
            </m:r>
            <m:ctrlPr>
              <w:rPr>
                <w:rFonts w:hint="default" w:ascii="Cambria Math" w:hAnsi="Cambria Math" w:cs="Times New Roman"/>
                <w:i/>
                <w:iCs w:val="0"/>
                <w:color w:val="auto"/>
                <w:sz w:val="24"/>
                <w:lang w:val="en-US"/>
              </w:rPr>
            </m:ctrlPr>
          </m:e>
        </m:func>
        <m:r>
          <m:rPr>
            <m:nor/>
          </m:rPr>
          <w:rPr>
            <w:rFonts w:hint="default" w:ascii="Times New Roman" w:hAnsi="Times New Roman" w:cs="Times New Roman"/>
            <w:i/>
            <w:iCs w:val="0"/>
            <w:color w:val="auto"/>
            <w:sz w:val="24"/>
            <w:lang w:val="en-US" w:eastAsia="zh-CN"/>
          </w:rPr>
          <m:t>ln</m:t>
        </m:r>
        <m:r>
          <m:rPr>
            <m:nor/>
            <m:sty m:val="p"/>
          </m:rPr>
          <w:rPr>
            <w:rFonts w:hint="default" w:ascii="Times New Roman" w:hAnsi="Times New Roman" w:cs="Times New Roman"/>
            <w:i w:val="0"/>
            <w:iCs w:val="0"/>
            <w:color w:val="auto"/>
            <w:sz w:val="24"/>
            <w:lang w:val="en-US" w:eastAsia="zh-CN"/>
          </w:rPr>
          <m:t>(</m:t>
        </m:r>
        <m:r>
          <m:rPr>
            <m:nor/>
          </m:rPr>
          <w:rPr>
            <w:rFonts w:hint="default" w:ascii="Times New Roman" w:hAnsi="Times New Roman" w:cs="Times New Roman"/>
            <w:i/>
            <w:iCs w:val="0"/>
            <w:color w:val="auto"/>
            <w:sz w:val="24"/>
            <w:lang w:val="en-US" w:eastAsia="zh-CN"/>
          </w:rPr>
          <m:t>x</m:t>
        </m:r>
        <m:r>
          <m:rPr>
            <m:nor/>
            <m:sty m:val="p"/>
          </m:rPr>
          <w:rPr>
            <w:rFonts w:hint="default" w:ascii="Times New Roman" w:hAnsi="Times New Roman" w:cs="Times New Roman"/>
            <w:i w:val="0"/>
            <w:iCs w:val="0"/>
            <w:color w:val="auto"/>
            <w:sz w:val="24"/>
            <w:lang w:val="en-US" w:eastAsia="zh-CN"/>
          </w:rPr>
          <m:t>+</m:t>
        </m:r>
        <m:rad>
          <m:radPr>
            <m:degHide m:val="1"/>
            <m:ctrlPr>
              <m:rPr/>
              <w:rPr>
                <w:rFonts w:hint="default" w:ascii="Cambria Math" w:hAnsi="Cambria Math" w:cs="Times New Roman"/>
                <w:i/>
                <w:iCs w:val="0"/>
                <w:color w:val="auto"/>
                <w:sz w:val="24"/>
                <w:lang w:val="en-US" w:eastAsia="zh-CN"/>
              </w:rPr>
            </m:ctrlPr>
          </m:radPr>
          <m:deg>
            <m:ctrlPr>
              <m:rPr/>
              <w:rPr>
                <w:rFonts w:hint="default" w:ascii="Cambria Math" w:hAnsi="Cambria Math" w:cs="Times New Roman"/>
                <w:i/>
                <w:iCs w:val="0"/>
                <w:color w:val="auto"/>
                <w:sz w:val="24"/>
                <w:lang w:val="en-US" w:eastAsia="zh-CN"/>
              </w:rPr>
            </m:ctrlPr>
          </m:deg>
          <m:e>
            <m:sSup>
              <m:sSupPr>
                <m:ctrlPr>
                  <m:rPr/>
                  <w:rPr>
                    <w:rFonts w:hint="default" w:ascii="Cambria Math" w:hAnsi="Cambria Math" w:cs="Times New Roman"/>
                    <w:i/>
                    <w:iCs w:val="0"/>
                    <w:color w:val="auto"/>
                    <w:sz w:val="24"/>
                    <w:lang w:val="en-US" w:eastAsia="zh-CN"/>
                  </w:rPr>
                </m:ctrlPr>
              </m:sSupPr>
              <m:e>
                <m:r>
                  <m:rPr>
                    <m:nor/>
                  </m:rPr>
                  <w:rPr>
                    <w:rFonts w:hint="default" w:ascii="Times New Roman" w:hAnsi="Times New Roman" w:cs="Times New Roman"/>
                    <w:i/>
                    <w:iCs w:val="0"/>
                    <w:color w:val="auto"/>
                    <w:sz w:val="24"/>
                    <w:lang w:val="en-US" w:eastAsia="zh-CN"/>
                  </w:rPr>
                  <m:t>x</m:t>
                </m:r>
                <m:ctrlPr>
                  <m:rPr/>
                  <w:rPr>
                    <w:rFonts w:hint="default" w:ascii="Cambria Math" w:hAnsi="Cambria Math" w:cs="Times New Roman"/>
                    <w:i/>
                    <w:iCs w:val="0"/>
                    <w:color w:val="auto"/>
                    <w:sz w:val="24"/>
                    <w:lang w:val="en-US" w:eastAsia="zh-CN"/>
                  </w:rPr>
                </m:ctrlPr>
              </m:e>
              <m:sup>
                <m:r>
                  <m:rPr>
                    <m:nor/>
                    <m:sty m:val="p"/>
                  </m:rPr>
                  <w:rPr>
                    <w:rFonts w:hint="default" w:ascii="Times New Roman" w:hAnsi="Times New Roman" w:cs="Times New Roman"/>
                    <w:i w:val="0"/>
                    <w:iCs w:val="0"/>
                    <w:color w:val="auto"/>
                    <w:sz w:val="24"/>
                    <w:lang w:val="en-US" w:eastAsia="zh-CN"/>
                  </w:rPr>
                  <m:t>2</m:t>
                </m:r>
                <m:ctrlPr>
                  <m:rPr/>
                  <w:rPr>
                    <w:rFonts w:hint="default" w:ascii="Cambria Math" w:hAnsi="Cambria Math" w:cs="Times New Roman"/>
                    <w:i/>
                    <w:iCs w:val="0"/>
                    <w:color w:val="auto"/>
                    <w:sz w:val="24"/>
                    <w:lang w:val="en-US" w:eastAsia="zh-CN"/>
                  </w:rPr>
                </m:ctrlPr>
              </m:sup>
            </m:sSup>
            <m:r>
              <m:rPr>
                <m:nor/>
                <m:sty m:val="p"/>
              </m:rPr>
              <w:rPr>
                <w:rFonts w:hint="default" w:ascii="Times New Roman" w:hAnsi="Times New Roman" w:cs="Times New Roman"/>
                <w:i w:val="0"/>
                <w:iCs w:val="0"/>
                <w:color w:val="auto"/>
                <w:sz w:val="24"/>
                <w:lang w:val="en-US" w:eastAsia="zh-CN"/>
              </w:rPr>
              <m:t>+1</m:t>
            </m:r>
            <m:ctrlPr>
              <m:rPr/>
              <w:rPr>
                <w:rFonts w:hint="default" w:ascii="Cambria Math" w:hAnsi="Cambria Math" w:cs="Times New Roman"/>
                <w:i/>
                <w:iCs w:val="0"/>
                <w:color w:val="auto"/>
                <w:sz w:val="24"/>
                <w:lang w:val="en-US" w:eastAsia="zh-CN"/>
              </w:rPr>
            </m:ctrlPr>
          </m:e>
        </m:rad>
        <m:r>
          <m:rPr>
            <m:nor/>
            <m:sty m:val="p"/>
          </m:rPr>
          <w:rPr>
            <w:rFonts w:hint="default" w:ascii="Times New Roman" w:hAnsi="Times New Roman" w:cs="Times New Roman"/>
            <w:i w:val="0"/>
            <w:iCs w:val="0"/>
            <w:color w:val="auto"/>
            <w:sz w:val="24"/>
            <w:lang w:val="en-US" w:eastAsia="zh-CN"/>
          </w:rPr>
          <m:t>)</m:t>
        </m:r>
      </m:oMath>
      <w:r>
        <m:rPr/>
        <w:rPr>
          <w:rFonts w:hint="eastAsia" w:hAnsi="Times New Roman" w:cs="Times New Roman"/>
          <w:i w:val="0"/>
          <w:iCs w:val="0"/>
          <w:color w:val="auto"/>
          <w:sz w:val="24"/>
          <w:lang w:val="en-US" w:eastAsia="zh-CN"/>
        </w:rPr>
        <w:t>进行转换</w:t>
      </w:r>
    </w:p>
    <w:p w14:paraId="00357173">
      <w:pPr>
        <m:rPr/>
        <w:rPr>
          <w:rFonts w:hint="eastAsia" w:ascii="Times New Roman" w:hAnsi="Times New Roman" w:cs="Times New Roman"/>
          <w:color w:val="auto"/>
          <w:sz w:val="24"/>
          <w:lang w:val="en-US" w:eastAsia="zh-CN"/>
        </w:rPr>
      </w:pPr>
      <w:r>
        <m:rPr/>
        <w:rPr>
          <w:rFonts w:hint="eastAsia" w:ascii="Times New Roman" w:hAnsi="Times New Roman" w:cs="Times New Roman"/>
          <w:color w:val="auto"/>
          <w:sz w:val="24"/>
          <w:lang w:val="en-US" w:eastAsia="zh-CN"/>
        </w:rPr>
        <w:t>6. 专利授权数</w:t>
      </w:r>
    </w:p>
    <w:p w14:paraId="24B5030A">
      <w:pPr>
        <w:rPr>
          <w:rFonts w:hint="default" w:ascii="Times New Roman" w:hAnsi="Times New Roman" w:cs="Times New Roman" w:eastAsiaTheme="minorEastAsia"/>
          <w:sz w:val="24"/>
          <w:lang w:val="en-US" w:eastAsia="zh-CN"/>
        </w:rPr>
      </w:pPr>
      <w:r>
        <w:rPr>
          <w:rFonts w:hint="eastAsia" w:ascii="Times New Roman" w:hAnsi="Times New Roman" w:cs="Times New Roman"/>
          <w:sz w:val="24"/>
          <w:lang w:val="en-US" w:eastAsia="zh-CN"/>
        </w:rPr>
        <w:t>来源：</w:t>
      </w:r>
      <w:r>
        <w:rPr>
          <w:rFonts w:hint="eastAsia" w:ascii="Times New Roman" w:hAnsi="Times New Roman" w:cs="Times New Roman"/>
          <w:sz w:val="24"/>
        </w:rPr>
        <w:t>国家知识产权局</w:t>
      </w:r>
      <w:r>
        <w:rPr>
          <w:rFonts w:hint="eastAsia" w:ascii="Times New Roman" w:hAnsi="Times New Roman" w:cs="Times New Roman"/>
          <w:sz w:val="24"/>
          <w:lang w:val="en-US" w:eastAsia="zh-CN"/>
        </w:rPr>
        <w:t>官网</w:t>
      </w:r>
      <w:r>
        <w:rPr>
          <w:rFonts w:hint="eastAsia" w:ascii="Times New Roman" w:hAnsi="Times New Roman" w:cs="Times New Roman"/>
          <w:sz w:val="24"/>
        </w:rPr>
        <w:t>公布的专利申请数据</w:t>
      </w:r>
      <w:r>
        <w:rPr>
          <w:rFonts w:hint="eastAsia" w:ascii="Times New Roman" w:hAnsi="Times New Roman" w:cs="Times New Roman"/>
          <w:sz w:val="24"/>
          <w:lang w:val="en-US" w:eastAsia="zh-CN"/>
        </w:rPr>
        <w:t>以及CNRDS数据库进行对照</w:t>
      </w:r>
    </w:p>
    <w:p w14:paraId="0586760D">
      <w:pPr>
        <w:rPr>
          <w:rFonts w:hint="eastAsia" w:ascii="Times New Roman" w:hAnsi="Times New Roman" w:cs="Times New Roman"/>
          <w:sz w:val="24"/>
          <w:lang w:val="en-US" w:eastAsia="zh-CN"/>
        </w:rPr>
      </w:pPr>
      <w:r>
        <w:rPr>
          <w:rFonts w:hint="eastAsia" w:ascii="Times New Roman" w:hAnsi="Times New Roman" w:cs="Times New Roman"/>
          <w:sz w:val="24"/>
          <w:lang w:val="en-US" w:eastAsia="zh-CN"/>
        </w:rPr>
        <w:t>采集方式：在专利检索及分析系统中导出专利信息</w:t>
      </w:r>
    </w:p>
    <w:p w14:paraId="55E09DD6">
      <w:pPr>
        <w:rPr>
          <w:rFonts w:hint="eastAsia" w:ascii="Times New Roman" w:hAnsi="Times New Roman" w:cs="Times New Roman"/>
          <w:color w:val="auto"/>
          <w:sz w:val="24"/>
        </w:rPr>
      </w:pPr>
      <w:r>
        <w:rPr>
          <w:rFonts w:hint="eastAsia" w:ascii="Times New Roman" w:hAnsi="Times New Roman" w:cs="Times New Roman"/>
          <w:sz w:val="24"/>
          <w:lang w:val="en-US" w:eastAsia="zh-CN"/>
        </w:rPr>
        <w:t>处理方法：</w:t>
      </w:r>
      <w:r>
        <w:rPr>
          <w:rFonts w:hint="eastAsia" w:ascii="Times New Roman" w:hAnsi="Times New Roman" w:cs="Times New Roman"/>
          <w:color w:val="auto"/>
          <w:sz w:val="24"/>
        </w:rPr>
        <w:t>第一，样本筛选上，</w:t>
      </w:r>
      <w:r>
        <w:rPr>
          <w:rFonts w:hint="eastAsia" w:ascii="Times New Roman" w:hAnsi="Times New Roman" w:cs="Times New Roman"/>
          <w:color w:val="auto"/>
          <w:sz w:val="24"/>
          <w:lang w:val="en-US" w:eastAsia="zh-CN"/>
        </w:rPr>
        <w:t>专利状态为授权，</w:t>
      </w:r>
      <w:r>
        <w:rPr>
          <w:rFonts w:hint="eastAsia" w:ascii="Times New Roman" w:hAnsi="Times New Roman" w:cs="Times New Roman"/>
          <w:color w:val="auto"/>
          <w:sz w:val="24"/>
        </w:rPr>
        <w:t>根据专利申请人信息剔除专利申请主体为居民个人以及企业独立申请的样本；第二，根据企业工商注册数据以及企查查、百度地图等辅助平台，识别专利申请主体的地级市归属；第三，若一项专利的共同申请主体归属于两个及以上的地级市，则将该专利视为企业在当年的跨区域合作创新事件；第四，考虑到企业与子公司、联营公司、合营公司的联合专利更多体现为企业内部的合作，对这一部分的联合申请专利进行剔除。最后，指标构建上，</w:t>
      </w:r>
      <w:r>
        <w:rPr>
          <w:rFonts w:hint="eastAsia" w:ascii="Times New Roman" w:hAnsi="Times New Roman" w:cs="Times New Roman"/>
          <w:color w:val="auto"/>
          <w:sz w:val="24"/>
          <w:lang w:val="en-US" w:eastAsia="zh-CN"/>
        </w:rPr>
        <w:t>将</w:t>
      </w:r>
      <w:r>
        <w:rPr>
          <w:rFonts w:hint="eastAsia" w:ascii="Times New Roman" w:hAnsi="Times New Roman" w:cs="Times New Roman"/>
          <w:color w:val="auto"/>
          <w:sz w:val="24"/>
        </w:rPr>
        <w:t>企业当年跨区域联合</w:t>
      </w:r>
      <w:r>
        <w:rPr>
          <w:rFonts w:hint="eastAsia" w:ascii="Times New Roman" w:hAnsi="Times New Roman" w:cs="Times New Roman"/>
          <w:color w:val="auto"/>
          <w:sz w:val="24"/>
          <w:lang w:val="en-US" w:eastAsia="zh-CN"/>
        </w:rPr>
        <w:t>发明专利的授权量</w:t>
      </w:r>
      <w:r>
        <w:rPr>
          <w:rFonts w:hint="eastAsia" w:ascii="Times New Roman" w:hAnsi="Times New Roman" w:cs="Times New Roman"/>
          <w:color w:val="auto"/>
          <w:sz w:val="24"/>
        </w:rPr>
        <w:t>加1取对数。</w:t>
      </w:r>
    </w:p>
    <w:p w14:paraId="16EC8A51">
      <w:pPr>
        <w:rPr>
          <w:rFonts w:hint="eastAsia" w:ascii="Times New Roman" w:hAnsi="Times New Roman" w:cs="Times New Roman"/>
          <w:color w:val="auto"/>
          <w:sz w:val="24"/>
          <w:lang w:val="en-US" w:eastAsia="zh-CN"/>
        </w:rPr>
      </w:pPr>
      <w:r>
        <w:rPr>
          <w:rFonts w:hint="eastAsia" w:ascii="Times New Roman" w:hAnsi="Times New Roman" w:cs="Times New Roman"/>
          <w:color w:val="auto"/>
          <w:sz w:val="24"/>
          <w:lang w:val="en-US" w:eastAsia="zh-CN"/>
        </w:rPr>
        <w:t>7. 合作伙伴数</w:t>
      </w:r>
    </w:p>
    <w:p w14:paraId="41ADE1C5">
      <w:pPr>
        <w:rPr>
          <w:rFonts w:hint="default" w:ascii="Times New Roman" w:hAnsi="Times New Roman" w:cs="Times New Roman" w:eastAsiaTheme="minorEastAsia"/>
          <w:sz w:val="24"/>
          <w:lang w:val="en-US" w:eastAsia="zh-CN"/>
        </w:rPr>
      </w:pPr>
      <w:r>
        <w:rPr>
          <w:rFonts w:hint="eastAsia" w:ascii="Times New Roman" w:hAnsi="Times New Roman" w:cs="Times New Roman"/>
          <w:sz w:val="24"/>
          <w:lang w:val="en-US" w:eastAsia="zh-CN"/>
        </w:rPr>
        <w:t>来源：</w:t>
      </w:r>
      <w:r>
        <w:rPr>
          <w:rFonts w:hint="eastAsia" w:ascii="Times New Roman" w:hAnsi="Times New Roman" w:cs="Times New Roman"/>
          <w:sz w:val="24"/>
        </w:rPr>
        <w:t>国家知识产权局</w:t>
      </w:r>
      <w:r>
        <w:rPr>
          <w:rFonts w:hint="eastAsia" w:ascii="Times New Roman" w:hAnsi="Times New Roman" w:cs="Times New Roman"/>
          <w:sz w:val="24"/>
          <w:lang w:val="en-US" w:eastAsia="zh-CN"/>
        </w:rPr>
        <w:t>官网</w:t>
      </w:r>
      <w:r>
        <w:rPr>
          <w:rFonts w:hint="eastAsia" w:ascii="Times New Roman" w:hAnsi="Times New Roman" w:cs="Times New Roman"/>
          <w:sz w:val="24"/>
        </w:rPr>
        <w:t>公布的专利申请数据</w:t>
      </w:r>
      <w:r>
        <w:rPr>
          <w:rFonts w:hint="eastAsia" w:ascii="Times New Roman" w:hAnsi="Times New Roman" w:cs="Times New Roman"/>
          <w:sz w:val="24"/>
          <w:lang w:val="en-US" w:eastAsia="zh-CN"/>
        </w:rPr>
        <w:t>以及CNRDS数据库进行对照</w:t>
      </w:r>
    </w:p>
    <w:p w14:paraId="25417DC2">
      <w:pPr>
        <w:rPr>
          <w:rFonts w:hint="eastAsia" w:ascii="Times New Roman" w:hAnsi="Times New Roman" w:cs="Times New Roman"/>
          <w:sz w:val="24"/>
          <w:lang w:val="en-US" w:eastAsia="zh-CN"/>
        </w:rPr>
      </w:pPr>
      <w:r>
        <w:rPr>
          <w:rFonts w:hint="eastAsia" w:ascii="Times New Roman" w:hAnsi="Times New Roman" w:cs="Times New Roman"/>
          <w:sz w:val="24"/>
          <w:lang w:val="en-US" w:eastAsia="zh-CN"/>
        </w:rPr>
        <w:t>采集方式：在专利检索及分析系统中导出专利信息</w:t>
      </w:r>
    </w:p>
    <w:p w14:paraId="279B5233">
      <w:pPr>
        <w:rPr>
          <w:rFonts w:hint="eastAsia" w:ascii="Times New Roman" w:hAnsi="Times New Roman" w:cs="Times New Roman"/>
          <w:sz w:val="24"/>
          <w:lang w:val="en-US" w:eastAsia="zh-CN"/>
        </w:rPr>
      </w:pPr>
      <w:r>
        <w:rPr>
          <w:rFonts w:hint="eastAsia" w:ascii="Times New Roman" w:hAnsi="Times New Roman" w:cs="Times New Roman"/>
          <w:sz w:val="24"/>
          <w:lang w:val="en-US" w:eastAsia="zh-CN"/>
        </w:rPr>
        <w:t>处理方法：基于企业发明专利申请信息中的申请主体字段，识别企业在跨区域合作发明专利中所涉及的合作主体，统计合作方所在地与企业所在城市不同的主体数量，并在企业—年份层面进行汇总，并对其进行加一取对数处理</w:t>
      </w:r>
    </w:p>
    <w:p w14:paraId="1B899B28">
      <w:pPr>
        <w:rPr>
          <w:rFonts w:hint="eastAsia" w:ascii="Times New Roman" w:hAnsi="Times New Roman" w:cs="Times New Roman"/>
          <w:sz w:val="24"/>
          <w:lang w:val="en-US" w:eastAsia="zh-CN"/>
        </w:rPr>
      </w:pPr>
      <w:r>
        <w:rPr>
          <w:rFonts w:hint="eastAsia" w:ascii="Times New Roman" w:hAnsi="Times New Roman" w:cs="Times New Roman"/>
          <w:sz w:val="24"/>
          <w:lang w:val="en-US" w:eastAsia="zh-CN"/>
        </w:rPr>
        <w:t>8. 设立异地研发中心</w:t>
      </w:r>
    </w:p>
    <w:p w14:paraId="09772129">
      <w:pPr>
        <w:rPr>
          <w:rFonts w:hint="default" w:ascii="Times New Roman" w:hAnsi="Times New Roman" w:cs="Times New Roman" w:eastAsiaTheme="minorEastAsia"/>
          <w:sz w:val="24"/>
          <w:lang w:val="en-US" w:eastAsia="zh-CN"/>
        </w:rPr>
      </w:pPr>
      <w:r>
        <w:rPr>
          <w:rFonts w:hint="eastAsia" w:ascii="Times New Roman" w:hAnsi="Times New Roman" w:cs="Times New Roman"/>
          <w:sz w:val="24"/>
          <w:lang w:val="en-US" w:eastAsia="zh-CN"/>
        </w:rPr>
        <w:t>来源：</w:t>
      </w:r>
      <w:r>
        <w:rPr>
          <w:rFonts w:hint="eastAsia" w:ascii="Times New Roman" w:hAnsi="Times New Roman" w:cs="Times New Roman"/>
          <w:color w:val="auto"/>
          <w:sz w:val="24"/>
          <w:lang w:val="en-US" w:eastAsia="zh-CN"/>
        </w:rPr>
        <w:t>CSMAR数据库</w:t>
      </w:r>
    </w:p>
    <w:p w14:paraId="4F2C550C">
      <w:pPr>
        <w:rPr>
          <w:rFonts w:hint="default" w:ascii="Times New Roman" w:hAnsi="Times New Roman" w:cs="Times New Roman"/>
          <w:sz w:val="24"/>
          <w:lang w:val="en-US" w:eastAsia="zh-CN"/>
        </w:rPr>
      </w:pPr>
      <w:r>
        <w:rPr>
          <w:rFonts w:hint="eastAsia" w:ascii="Times New Roman" w:hAnsi="Times New Roman" w:cs="Times New Roman"/>
          <w:sz w:val="24"/>
          <w:lang w:val="en-US" w:eastAsia="zh-CN"/>
        </w:rPr>
        <w:t>采集方式：导出企业异地子公司的表</w:t>
      </w:r>
    </w:p>
    <w:p w14:paraId="78627E13">
      <w:pPr>
        <w:rPr>
          <w:rFonts w:hint="eastAsia" w:ascii="Times New Roman" w:hAnsi="Times New Roman" w:cs="Times New Roman"/>
          <w:sz w:val="24"/>
          <w:lang w:val="en-US" w:eastAsia="zh-CN"/>
        </w:rPr>
      </w:pPr>
      <w:r>
        <w:rPr>
          <w:rFonts w:hint="eastAsia" w:ascii="Times New Roman" w:hAnsi="Times New Roman" w:cs="Times New Roman"/>
          <w:sz w:val="24"/>
          <w:lang w:val="en-US" w:eastAsia="zh-CN"/>
        </w:rPr>
        <w:t>处理方法：筛选出企业在注册地以外的城市设立、并购或新建主要经营范围包括研发制造的研发中心、机构、基地等类型的子公司或分支机构，有则赋值1，反之为0</w:t>
      </w:r>
    </w:p>
    <w:p w14:paraId="218811F7">
      <w:pPr>
        <w:rPr>
          <w:rFonts w:hint="eastAsia" w:ascii="Times New Roman" w:hAnsi="Times New Roman" w:cs="Times New Roman"/>
          <w:sz w:val="24"/>
          <w:lang w:val="en-US" w:eastAsia="zh-CN"/>
        </w:rPr>
      </w:pPr>
      <w:r>
        <w:rPr>
          <w:rFonts w:hint="eastAsia" w:ascii="Times New Roman" w:hAnsi="Times New Roman" w:cs="Times New Roman"/>
          <w:sz w:val="24"/>
          <w:lang w:val="en-US" w:eastAsia="zh-CN"/>
        </w:rPr>
        <w:t>9. 核心创新能力</w:t>
      </w:r>
    </w:p>
    <w:p w14:paraId="4528E5DD">
      <w:pPr>
        <w:rPr>
          <w:rFonts w:hint="default" w:ascii="Times New Roman" w:hAnsi="Times New Roman" w:cs="Times New Roman" w:eastAsiaTheme="minorEastAsia"/>
          <w:sz w:val="24"/>
          <w:lang w:val="en-US" w:eastAsia="zh-CN"/>
        </w:rPr>
      </w:pPr>
      <w:r>
        <w:rPr>
          <w:rFonts w:hint="eastAsia" w:ascii="Times New Roman" w:hAnsi="Times New Roman" w:cs="Times New Roman"/>
          <w:sz w:val="24"/>
          <w:lang w:val="en-US" w:eastAsia="zh-CN"/>
        </w:rPr>
        <w:t>来源：</w:t>
      </w:r>
      <w:r>
        <w:rPr>
          <w:rFonts w:hint="eastAsia" w:ascii="Times New Roman" w:hAnsi="Times New Roman" w:cs="Times New Roman"/>
          <w:sz w:val="24"/>
        </w:rPr>
        <w:t>国家知识产权局</w:t>
      </w:r>
      <w:r>
        <w:rPr>
          <w:rFonts w:hint="eastAsia" w:ascii="Times New Roman" w:hAnsi="Times New Roman" w:cs="Times New Roman"/>
          <w:sz w:val="24"/>
          <w:lang w:val="en-US" w:eastAsia="zh-CN"/>
        </w:rPr>
        <w:t>官网</w:t>
      </w:r>
      <w:r>
        <w:rPr>
          <w:rFonts w:hint="eastAsia" w:ascii="Times New Roman" w:hAnsi="Times New Roman" w:cs="Times New Roman"/>
          <w:sz w:val="24"/>
        </w:rPr>
        <w:t>公布的专利申请数据</w:t>
      </w:r>
      <w:r>
        <w:rPr>
          <w:rFonts w:hint="eastAsia" w:ascii="Times New Roman" w:hAnsi="Times New Roman" w:cs="Times New Roman"/>
          <w:sz w:val="24"/>
          <w:lang w:val="en-US" w:eastAsia="zh-CN"/>
        </w:rPr>
        <w:t>以及CNRDS数据库进行对照</w:t>
      </w:r>
    </w:p>
    <w:p w14:paraId="0D6DED1B">
      <w:pPr>
        <w:rPr>
          <w:rFonts w:hint="eastAsia" w:ascii="Times New Roman" w:hAnsi="Times New Roman" w:cs="Times New Roman"/>
          <w:sz w:val="24"/>
          <w:lang w:val="en-US" w:eastAsia="zh-CN"/>
        </w:rPr>
      </w:pPr>
      <w:r>
        <w:rPr>
          <w:rFonts w:hint="eastAsia" w:ascii="Times New Roman" w:hAnsi="Times New Roman" w:cs="Times New Roman"/>
          <w:sz w:val="24"/>
          <w:lang w:val="en-US" w:eastAsia="zh-CN"/>
        </w:rPr>
        <w:t>采集方式：在专利检索及分析系统中导出专利信息</w:t>
      </w:r>
    </w:p>
    <w:p w14:paraId="1799D4AB">
      <w:pPr>
        <w:rPr>
          <w:rFonts w:hint="eastAsia" w:ascii="Times New Roman" w:hAnsi="Times New Roman" w:cs="Times New Roman"/>
          <w:color w:val="auto"/>
          <w:sz w:val="24"/>
          <w:lang w:val="en-US" w:eastAsia="zh-CN"/>
        </w:rPr>
      </w:pPr>
      <w:r>
        <w:rPr>
          <w:rFonts w:hint="eastAsia" w:ascii="Times New Roman" w:hAnsi="Times New Roman" w:cs="Times New Roman"/>
          <w:sz w:val="24"/>
          <w:lang w:val="en-US" w:eastAsia="zh-CN"/>
        </w:rPr>
        <w:t>处理方法：</w:t>
      </w:r>
      <w:r>
        <w:rPr>
          <w:rFonts w:hint="eastAsia" w:ascii="Times New Roman" w:hAnsi="Times New Roman" w:cs="Times New Roman"/>
          <w:color w:val="auto"/>
          <w:sz w:val="24"/>
        </w:rPr>
        <w:t>第一，样本筛选上，根据专利申请人信息剔除专利申请主体为居民个人的样本；第二，</w:t>
      </w:r>
      <w:r>
        <w:rPr>
          <w:rFonts w:hint="eastAsia" w:ascii="Times New Roman" w:hAnsi="Times New Roman" w:cs="Times New Roman"/>
          <w:color w:val="auto"/>
          <w:sz w:val="24"/>
          <w:lang w:val="en-US" w:eastAsia="zh-CN"/>
        </w:rPr>
        <w:t>对</w:t>
      </w:r>
      <w:r>
        <w:rPr>
          <w:rFonts w:hint="eastAsia" w:ascii="Times New Roman" w:hAnsi="Times New Roman" w:cs="Times New Roman"/>
          <w:color w:val="auto"/>
          <w:sz w:val="24"/>
        </w:rPr>
        <w:t>企业当</w:t>
      </w:r>
      <w:r>
        <w:rPr>
          <w:rFonts w:hint="eastAsia" w:ascii="Times New Roman" w:hAnsi="Times New Roman" w:cs="Times New Roman"/>
          <w:color w:val="auto"/>
          <w:sz w:val="24"/>
          <w:lang w:val="en-US" w:eastAsia="zh-CN"/>
        </w:rPr>
        <w:t>发明专利的申请量</w:t>
      </w:r>
      <w:r>
        <w:rPr>
          <w:rFonts w:hint="eastAsia" w:ascii="Times New Roman" w:hAnsi="Times New Roman" w:cs="Times New Roman"/>
          <w:color w:val="auto"/>
          <w:sz w:val="24"/>
        </w:rPr>
        <w:t>加1取对数</w:t>
      </w:r>
      <w:r>
        <w:rPr>
          <w:rFonts w:hint="eastAsia" w:ascii="Times New Roman" w:hAnsi="Times New Roman" w:cs="Times New Roman"/>
          <w:color w:val="auto"/>
          <w:sz w:val="24"/>
          <w:lang w:val="en-US" w:eastAsia="zh-CN"/>
        </w:rPr>
        <w:t>即联合申请和独立申请的发明专利数量</w:t>
      </w:r>
    </w:p>
    <w:p w14:paraId="3AA61675">
      <w:pPr>
        <w:rPr>
          <w:rFonts w:hint="eastAsia" w:ascii="Times New Roman" w:hAnsi="Times New Roman" w:cs="Times New Roman"/>
          <w:color w:val="auto"/>
          <w:sz w:val="24"/>
          <w:lang w:val="en-US" w:eastAsia="zh-CN"/>
        </w:rPr>
      </w:pPr>
      <w:r>
        <w:rPr>
          <w:rFonts w:hint="eastAsia" w:ascii="Times New Roman" w:hAnsi="Times New Roman" w:cs="Times New Roman"/>
          <w:color w:val="auto"/>
          <w:sz w:val="24"/>
          <w:lang w:val="en-US" w:eastAsia="zh-CN"/>
        </w:rPr>
        <w:t>10. 控制地区差异</w:t>
      </w:r>
    </w:p>
    <w:p w14:paraId="15D259F9">
      <w:pPr>
        <w:rPr>
          <w:rFonts w:hint="eastAsia" w:ascii="Times New Roman" w:hAnsi="Times New Roman" w:cs="Times New Roman"/>
          <w:sz w:val="24"/>
          <w:lang w:val="en-US" w:eastAsia="zh-CN"/>
        </w:rPr>
      </w:pPr>
      <w:r>
        <w:rPr>
          <w:rFonts w:hint="eastAsia" w:ascii="Times New Roman" w:hAnsi="Times New Roman" w:cs="Times New Roman"/>
          <w:sz w:val="24"/>
          <w:lang w:val="en-US" w:eastAsia="zh-CN"/>
        </w:rPr>
        <w:t>来源：政府官方长三角中心区的文件</w:t>
      </w:r>
    </w:p>
    <w:p w14:paraId="460C42A5">
      <w:pPr>
        <w:rPr>
          <w:rFonts w:hint="eastAsia" w:ascii="Times New Roman" w:hAnsi="Times New Roman" w:cs="Times New Roman"/>
          <w:sz w:val="24"/>
          <w:lang w:val="en-US" w:eastAsia="zh-CN"/>
        </w:rPr>
      </w:pPr>
      <w:r>
        <w:rPr>
          <w:rFonts w:hint="eastAsia" w:ascii="Times New Roman" w:hAnsi="Times New Roman" w:cs="Times New Roman"/>
          <w:sz w:val="24"/>
          <w:lang w:val="en-US" w:eastAsia="zh-CN"/>
        </w:rPr>
        <w:t>采集方式：匹配41城市</w:t>
      </w:r>
    </w:p>
    <w:p w14:paraId="40A84221">
      <w:pPr>
        <w:rPr>
          <w:rFonts w:hint="eastAsia" w:ascii="Times New Roman" w:hAnsi="Times New Roman" w:cs="Times New Roman"/>
          <w:sz w:val="24"/>
          <w:lang w:val="en-US" w:eastAsia="zh-CN"/>
        </w:rPr>
      </w:pPr>
      <w:r>
        <w:rPr>
          <w:rFonts w:hint="eastAsia" w:ascii="Times New Roman" w:hAnsi="Times New Roman" w:cs="Times New Roman"/>
          <w:sz w:val="24"/>
          <w:lang w:val="en-US" w:eastAsia="zh-CN"/>
        </w:rPr>
        <w:t>处理方法：若为长三角中心城市赋值为1，反之为0</w:t>
      </w:r>
    </w:p>
    <w:p w14:paraId="65B81DF9">
      <w:pPr>
        <w:rPr>
          <w:rFonts w:hint="eastAsia" w:ascii="Times New Roman" w:hAnsi="Times New Roman" w:cs="Times New Roman"/>
          <w:sz w:val="24"/>
          <w:lang w:val="en-US" w:eastAsia="zh-CN"/>
        </w:rPr>
      </w:pPr>
      <w:r>
        <w:rPr>
          <w:rFonts w:hint="eastAsia" w:ascii="Times New Roman" w:hAnsi="Times New Roman" w:cs="Times New Roman"/>
          <w:sz w:val="24"/>
          <w:lang w:val="en-US" w:eastAsia="zh-CN"/>
        </w:rPr>
        <w:t>11. 工具变量</w:t>
      </w:r>
    </w:p>
    <w:p w14:paraId="37E11FCB">
      <w:pPr>
        <w:rPr>
          <w:rFonts w:hint="eastAsia" w:ascii="Times New Roman" w:hAnsi="Times New Roman" w:cs="Times New Roman"/>
          <w:sz w:val="24"/>
          <w:lang w:val="en-US" w:eastAsia="zh-CN"/>
        </w:rPr>
      </w:pPr>
      <w:r>
        <w:rPr>
          <w:rFonts w:hint="eastAsia" w:ascii="Times New Roman" w:hAnsi="Times New Roman" w:cs="Times New Roman"/>
          <w:sz w:val="24"/>
          <w:lang w:val="en-US" w:eastAsia="zh-CN"/>
        </w:rPr>
        <w:t>来源：CSMAR数据库</w:t>
      </w:r>
    </w:p>
    <w:p w14:paraId="525F21ED">
      <w:pPr>
        <w:rPr>
          <w:rFonts w:hint="default" w:ascii="Times New Roman" w:hAnsi="Times New Roman" w:cs="Times New Roman"/>
          <w:sz w:val="24"/>
          <w:lang w:val="en-US" w:eastAsia="zh-CN"/>
        </w:rPr>
      </w:pPr>
      <w:r>
        <w:rPr>
          <w:rFonts w:hint="eastAsia" w:ascii="Times New Roman" w:hAnsi="Times New Roman" w:cs="Times New Roman"/>
          <w:sz w:val="24"/>
          <w:lang w:val="en-US" w:eastAsia="zh-CN"/>
        </w:rPr>
        <w:t>采集方式：导出地形起伏度数据</w:t>
      </w:r>
    </w:p>
    <w:p w14:paraId="215BEDE9">
      <w:pPr>
        <w:rPr>
          <w:rFonts w:hint="eastAsia" w:ascii="Times New Roman" w:hAnsi="Times New Roman" w:cs="Times New Roman"/>
          <w:sz w:val="24"/>
          <w:lang w:val="en-US" w:eastAsia="zh-CN"/>
        </w:rPr>
      </w:pPr>
      <w:r>
        <w:rPr>
          <w:rFonts w:hint="eastAsia" w:ascii="Times New Roman" w:hAnsi="Times New Roman" w:cs="Times New Roman"/>
          <w:sz w:val="24"/>
          <w:lang w:val="en-US" w:eastAsia="zh-CN"/>
        </w:rPr>
        <w:t>处理方法：对地形起伏度取倒数，并设立时间趋势项，以两者的交互项作为工具变量</w:t>
      </w:r>
    </w:p>
    <w:p w14:paraId="285E2BC4">
      <w:pPr>
        <w:rPr>
          <w:rFonts w:hint="eastAsia" w:ascii="Times New Roman" w:hAnsi="Times New Roman" w:cs="Times New Roman"/>
          <w:sz w:val="24"/>
          <w:lang w:val="en-US" w:eastAsia="zh-CN"/>
        </w:rPr>
      </w:pPr>
      <w:r>
        <w:rPr>
          <w:rFonts w:hint="eastAsia" w:ascii="Times New Roman" w:hAnsi="Times New Roman" w:cs="Times New Roman"/>
          <w:sz w:val="24"/>
          <w:lang w:val="en-US" w:eastAsia="zh-CN"/>
        </w:rPr>
        <w:t>12. 信息披露水平</w:t>
      </w:r>
    </w:p>
    <w:p w14:paraId="74E21864">
      <w:pPr>
        <w:rPr>
          <w:rFonts w:hint="eastAsia" w:ascii="Times New Roman" w:hAnsi="Times New Roman" w:cs="Times New Roman"/>
          <w:sz w:val="24"/>
          <w:lang w:val="en-US" w:eastAsia="zh-CN"/>
        </w:rPr>
      </w:pPr>
      <w:r>
        <w:rPr>
          <w:rFonts w:hint="eastAsia" w:ascii="Times New Roman" w:hAnsi="Times New Roman" w:cs="Times New Roman"/>
          <w:sz w:val="24"/>
          <w:lang w:val="en-US" w:eastAsia="zh-CN"/>
        </w:rPr>
        <w:t>来源：CSMAR数据库</w:t>
      </w:r>
    </w:p>
    <w:p w14:paraId="49FB7005">
      <w:pPr>
        <w:rPr>
          <w:rFonts w:hint="default" w:ascii="Times New Roman" w:hAnsi="Times New Roman" w:cs="Times New Roman"/>
          <w:sz w:val="24"/>
          <w:lang w:val="en-US" w:eastAsia="zh-CN"/>
        </w:rPr>
      </w:pPr>
      <w:r>
        <w:rPr>
          <w:rFonts w:hint="eastAsia" w:ascii="Times New Roman" w:hAnsi="Times New Roman" w:cs="Times New Roman"/>
          <w:sz w:val="24"/>
          <w:lang w:val="en-US" w:eastAsia="zh-CN"/>
        </w:rPr>
        <w:t>采集方式：导出交易所信息披露评级数据</w:t>
      </w:r>
    </w:p>
    <w:p w14:paraId="6141CA2A">
      <w:pPr>
        <w:rPr>
          <w:rFonts w:hint="eastAsia" w:ascii="Times New Roman" w:hAnsi="Times New Roman" w:cs="Times New Roman"/>
          <w:sz w:val="24"/>
          <w:lang w:val="en-US" w:eastAsia="zh-CN"/>
        </w:rPr>
      </w:pPr>
      <w:r>
        <w:rPr>
          <w:rFonts w:hint="eastAsia" w:ascii="Times New Roman" w:hAnsi="Times New Roman" w:cs="Times New Roman"/>
          <w:sz w:val="24"/>
          <w:lang w:val="en-US" w:eastAsia="zh-CN"/>
        </w:rPr>
        <w:t>处理方法：按A=4，B=3，C=2，D=1赋值</w:t>
      </w:r>
    </w:p>
    <w:p w14:paraId="164D2651">
      <w:pPr>
        <w:rPr>
          <w:rFonts w:hint="default" w:ascii="Times New Roman" w:hAnsi="Times New Roman" w:cs="Times New Roman"/>
          <w:sz w:val="24"/>
          <w:lang w:val="en-US" w:eastAsia="zh-CN"/>
        </w:rPr>
      </w:pPr>
      <w:r>
        <w:rPr>
          <w:rFonts w:hint="eastAsia" w:ascii="Times New Roman" w:hAnsi="Times New Roman" w:cs="Times New Roman"/>
          <w:sz w:val="24"/>
          <w:lang w:val="en-US" w:eastAsia="zh-CN"/>
        </w:rPr>
        <w:t>13. 审计质量</w:t>
      </w:r>
    </w:p>
    <w:p w14:paraId="1539A76D">
      <w:pPr>
        <w:rPr>
          <w:rFonts w:hint="eastAsia" w:ascii="Times New Roman" w:hAnsi="Times New Roman" w:cs="Times New Roman"/>
          <w:sz w:val="24"/>
          <w:lang w:val="en-US" w:eastAsia="zh-CN"/>
        </w:rPr>
      </w:pPr>
      <w:r>
        <w:rPr>
          <w:rFonts w:hint="eastAsia" w:ascii="Times New Roman" w:hAnsi="Times New Roman" w:cs="Times New Roman"/>
          <w:sz w:val="24"/>
          <w:lang w:val="en-US" w:eastAsia="zh-CN"/>
        </w:rPr>
        <w:t>来源：CSMAR数据库</w:t>
      </w:r>
    </w:p>
    <w:p w14:paraId="119EC5FB">
      <w:pPr>
        <w:rPr>
          <w:rFonts w:hint="default" w:ascii="Times New Roman" w:hAnsi="Times New Roman" w:cs="Times New Roman"/>
          <w:sz w:val="24"/>
          <w:lang w:val="en-US" w:eastAsia="zh-CN"/>
        </w:rPr>
      </w:pPr>
      <w:r>
        <w:rPr>
          <w:rFonts w:hint="eastAsia" w:ascii="Times New Roman" w:hAnsi="Times New Roman" w:cs="Times New Roman"/>
          <w:sz w:val="24"/>
          <w:lang w:val="en-US" w:eastAsia="zh-CN"/>
        </w:rPr>
        <w:t>采集方式：导出企业当年审计师是否来自四大会计师事务所</w:t>
      </w:r>
      <w:r>
        <w:rPr>
          <w:rFonts w:hint="eastAsia" w:ascii="Times New Roman" w:hAnsi="Times New Roman" w:cs="Times New Roman"/>
          <w:sz w:val="24"/>
          <w:lang w:val="en-US" w:eastAsia="zh-CN"/>
        </w:rPr>
        <w:t>数据</w:t>
      </w:r>
    </w:p>
    <w:p w14:paraId="0FEBF218">
      <w:pPr>
        <w:rPr>
          <w:rFonts w:hint="eastAsia" w:ascii="Times New Roman" w:hAnsi="Times New Roman" w:cs="Times New Roman"/>
          <w:sz w:val="24"/>
          <w:lang w:val="en-US" w:eastAsia="zh-CN"/>
        </w:rPr>
      </w:pPr>
      <w:r>
        <w:rPr>
          <w:rFonts w:hint="eastAsia" w:ascii="Times New Roman" w:hAnsi="Times New Roman" w:cs="Times New Roman"/>
          <w:sz w:val="24"/>
          <w:lang w:val="en-US" w:eastAsia="zh-CN"/>
        </w:rPr>
        <w:t>处理方法：是则赋值1，反之为0</w:t>
      </w:r>
    </w:p>
    <w:p w14:paraId="7B8AA925">
      <w:pPr>
        <w:rPr>
          <w:rFonts w:hint="default" w:ascii="Times New Roman" w:hAnsi="Times New Roman" w:cs="Times New Roman"/>
          <w:sz w:val="24"/>
          <w:lang w:val="en-US" w:eastAsia="zh-CN"/>
        </w:rPr>
      </w:pPr>
      <w:r>
        <w:rPr>
          <w:rFonts w:hint="eastAsia" w:ascii="Times New Roman" w:hAnsi="Times New Roman" w:cs="Times New Roman"/>
          <w:sz w:val="24"/>
          <w:lang w:val="en-US" w:eastAsia="zh-CN"/>
        </w:rPr>
        <w:t>14. 资本要素配置</w:t>
      </w:r>
    </w:p>
    <w:p w14:paraId="4C5D4277">
      <w:pPr>
        <w:rPr>
          <w:rFonts w:hint="eastAsia" w:ascii="Times New Roman" w:hAnsi="Times New Roman" w:cs="Times New Roman"/>
          <w:sz w:val="24"/>
          <w:lang w:val="en-US" w:eastAsia="zh-CN"/>
        </w:rPr>
      </w:pPr>
      <w:r>
        <w:rPr>
          <w:rFonts w:hint="eastAsia" w:ascii="Times New Roman" w:hAnsi="Times New Roman" w:cs="Times New Roman"/>
          <w:sz w:val="24"/>
          <w:lang w:val="en-US" w:eastAsia="zh-CN"/>
        </w:rPr>
        <w:t>来源：CSMAR数据库</w:t>
      </w:r>
    </w:p>
    <w:p w14:paraId="2EF48ABF">
      <w:pPr>
        <w:rPr>
          <w:rFonts w:hint="default" w:ascii="Times New Roman" w:hAnsi="Times New Roman" w:cs="Times New Roman"/>
          <w:sz w:val="24"/>
          <w:lang w:val="en-US" w:eastAsia="zh-CN"/>
        </w:rPr>
      </w:pPr>
      <w:r>
        <w:rPr>
          <w:rFonts w:hint="eastAsia" w:ascii="Times New Roman" w:hAnsi="Times New Roman" w:cs="Times New Roman"/>
          <w:sz w:val="24"/>
          <w:lang w:val="en-US" w:eastAsia="zh-CN"/>
        </w:rPr>
        <w:t>采集方式：导出企业资本存量和总营业收入数据</w:t>
      </w:r>
    </w:p>
    <w:p w14:paraId="1AF287A2">
      <w:pPr>
        <w:rPr>
          <w:rFonts w:hint="eastAsia" w:ascii="Times New Roman" w:hAnsi="Times New Roman" w:cs="Times New Roman"/>
          <w:sz w:val="24"/>
          <w:lang w:val="en-US" w:eastAsia="zh-CN"/>
        </w:rPr>
      </w:pPr>
      <w:r>
        <w:rPr>
          <w:rFonts w:hint="eastAsia" w:ascii="Times New Roman" w:hAnsi="Times New Roman" w:cs="Times New Roman"/>
          <w:sz w:val="24"/>
          <w:lang w:val="en-US" w:eastAsia="zh-CN"/>
        </w:rPr>
        <w:t>处理方法：取企业资本存量和总营业收入的比值</w:t>
      </w:r>
    </w:p>
    <w:p w14:paraId="5F0A04A0">
      <w:pPr>
        <w:rPr>
          <w:rFonts w:hint="default" w:ascii="Times New Roman" w:hAnsi="Times New Roman" w:cs="Times New Roman"/>
          <w:sz w:val="24"/>
          <w:lang w:val="en-US" w:eastAsia="zh-CN"/>
        </w:rPr>
      </w:pPr>
      <w:r>
        <w:rPr>
          <w:rFonts w:hint="eastAsia" w:ascii="Times New Roman" w:hAnsi="Times New Roman" w:cs="Times New Roman"/>
          <w:sz w:val="24"/>
          <w:lang w:val="en-US" w:eastAsia="zh-CN"/>
        </w:rPr>
        <w:t>15. 劳动要素配置</w:t>
      </w:r>
    </w:p>
    <w:p w14:paraId="5A1E8923">
      <w:pPr>
        <w:rPr>
          <w:rFonts w:hint="eastAsia" w:ascii="Times New Roman" w:hAnsi="Times New Roman" w:cs="Times New Roman"/>
          <w:sz w:val="24"/>
          <w:lang w:val="en-US" w:eastAsia="zh-CN"/>
        </w:rPr>
      </w:pPr>
      <w:r>
        <w:rPr>
          <w:rFonts w:hint="eastAsia" w:ascii="Times New Roman" w:hAnsi="Times New Roman" w:cs="Times New Roman"/>
          <w:sz w:val="24"/>
          <w:lang w:val="en-US" w:eastAsia="zh-CN"/>
        </w:rPr>
        <w:t>来源：上市公司年报结合CSMAR数据库</w:t>
      </w:r>
    </w:p>
    <w:p w14:paraId="04942649">
      <w:pPr>
        <w:rPr>
          <w:rFonts w:hint="default" w:ascii="Times New Roman" w:hAnsi="Times New Roman" w:cs="Times New Roman"/>
          <w:sz w:val="24"/>
          <w:lang w:val="en-US" w:eastAsia="zh-CN"/>
        </w:rPr>
      </w:pPr>
      <w:r>
        <w:rPr>
          <w:rFonts w:hint="eastAsia" w:ascii="Times New Roman" w:hAnsi="Times New Roman" w:cs="Times New Roman"/>
          <w:sz w:val="24"/>
          <w:lang w:val="en-US" w:eastAsia="zh-CN"/>
        </w:rPr>
        <w:t>采集方式：导出企业员工数据</w:t>
      </w:r>
    </w:p>
    <w:p w14:paraId="03DD0D95">
      <w:pPr>
        <w:rPr>
          <w:rFonts w:hint="eastAsia" w:ascii="Times New Roman" w:hAnsi="Times New Roman" w:cs="Times New Roman"/>
          <w:sz w:val="24"/>
          <w:lang w:val="en-US" w:eastAsia="zh-CN"/>
        </w:rPr>
      </w:pPr>
      <w:r>
        <w:rPr>
          <w:rFonts w:hint="eastAsia" w:ascii="Times New Roman" w:hAnsi="Times New Roman" w:cs="Times New Roman"/>
          <w:sz w:val="24"/>
          <w:lang w:val="en-US" w:eastAsia="zh-CN"/>
        </w:rPr>
        <w:t>处理方法：取研究生以上学历人数与员工总数的比值</w:t>
      </w:r>
    </w:p>
    <w:p w14:paraId="55FEE4C8">
      <w:pPr>
        <w:rPr>
          <w:rFonts w:hint="eastAsia" w:ascii="Times New Roman" w:hAnsi="Times New Roman" w:cs="Times New Roman"/>
          <w:sz w:val="24"/>
          <w:lang w:val="en-US" w:eastAsia="zh-CN"/>
        </w:rPr>
      </w:pPr>
      <w:r>
        <w:rPr>
          <w:rFonts w:hint="eastAsia" w:ascii="Times New Roman" w:hAnsi="Times New Roman" w:cs="Times New Roman"/>
          <w:sz w:val="24"/>
          <w:lang w:val="en-US" w:eastAsia="zh-CN"/>
        </w:rPr>
        <w:t>16. 供应链依赖</w:t>
      </w:r>
    </w:p>
    <w:p w14:paraId="2E553DA6">
      <w:pPr>
        <w:rPr>
          <w:rFonts w:hint="eastAsia" w:ascii="Times New Roman" w:hAnsi="Times New Roman" w:cs="Times New Roman"/>
          <w:sz w:val="24"/>
          <w:lang w:val="en-US" w:eastAsia="zh-CN"/>
        </w:rPr>
      </w:pPr>
      <w:r>
        <w:rPr>
          <w:rFonts w:hint="eastAsia" w:ascii="Times New Roman" w:hAnsi="Times New Roman" w:cs="Times New Roman"/>
          <w:sz w:val="24"/>
          <w:lang w:val="en-US" w:eastAsia="zh-CN"/>
        </w:rPr>
        <w:t>来源：上市公司年报结合CSMAR数据库</w:t>
      </w:r>
    </w:p>
    <w:p w14:paraId="4D24EE49">
      <w:pPr>
        <w:rPr>
          <w:rFonts w:hint="eastAsia" w:ascii="Times New Roman" w:hAnsi="Times New Roman" w:cs="Times New Roman"/>
          <w:sz w:val="24"/>
          <w:lang w:val="en-US" w:eastAsia="zh-CN"/>
        </w:rPr>
      </w:pPr>
      <w:r>
        <w:rPr>
          <w:rFonts w:hint="eastAsia" w:ascii="Times New Roman" w:hAnsi="Times New Roman" w:cs="Times New Roman"/>
          <w:sz w:val="24"/>
          <w:lang w:val="en-US" w:eastAsia="zh-CN"/>
        </w:rPr>
        <w:t>采集方式：导出前五大供应商和客户的占比数据</w:t>
      </w:r>
    </w:p>
    <w:p w14:paraId="146EE7FB">
      <w:pPr>
        <w:rPr>
          <w:rFonts w:hint="eastAsia" w:ascii="Times New Roman" w:hAnsi="Times New Roman" w:cs="Times New Roman"/>
          <w:sz w:val="24"/>
          <w:lang w:val="en-US" w:eastAsia="zh-CN"/>
        </w:rPr>
      </w:pPr>
      <w:r>
        <w:rPr>
          <w:rFonts w:hint="eastAsia" w:ascii="Times New Roman" w:hAnsi="Times New Roman" w:cs="Times New Roman"/>
          <w:sz w:val="24"/>
          <w:lang w:val="en-US" w:eastAsia="zh-CN"/>
        </w:rPr>
        <w:t>处理方法：匹配数据，并以两者的均值衡量整体集中度</w:t>
      </w:r>
    </w:p>
    <w:p w14:paraId="5AACD465">
      <w:pPr>
        <w:rPr>
          <w:rFonts w:hint="eastAsia" w:ascii="Times New Roman" w:hAnsi="Times New Roman" w:cs="Times New Roman"/>
          <w:sz w:val="24"/>
          <w:lang w:val="en-US" w:eastAsia="zh-CN"/>
        </w:rPr>
      </w:pPr>
      <w:r>
        <w:rPr>
          <w:rFonts w:hint="eastAsia" w:ascii="Times New Roman" w:hAnsi="Times New Roman" w:cs="Times New Roman"/>
          <w:sz w:val="24"/>
          <w:lang w:val="en-US" w:eastAsia="zh-CN"/>
        </w:rPr>
        <w:t>17. 自主创新能力</w:t>
      </w:r>
    </w:p>
    <w:p w14:paraId="3A2EA68D">
      <w:pPr>
        <w:rPr>
          <w:rFonts w:hint="default" w:ascii="Times New Roman" w:hAnsi="Times New Roman" w:cs="Times New Roman" w:eastAsiaTheme="minorEastAsia"/>
          <w:sz w:val="24"/>
          <w:lang w:val="en-US" w:eastAsia="zh-CN"/>
        </w:rPr>
      </w:pPr>
      <w:r>
        <w:rPr>
          <w:rFonts w:hint="eastAsia" w:ascii="Times New Roman" w:hAnsi="Times New Roman" w:cs="Times New Roman"/>
          <w:sz w:val="24"/>
          <w:lang w:val="en-US" w:eastAsia="zh-CN"/>
        </w:rPr>
        <w:t>来源：</w:t>
      </w:r>
      <w:r>
        <w:rPr>
          <w:rFonts w:hint="eastAsia" w:ascii="Times New Roman" w:hAnsi="Times New Roman" w:cs="Times New Roman"/>
          <w:sz w:val="24"/>
        </w:rPr>
        <w:t>国家知识产权局</w:t>
      </w:r>
      <w:r>
        <w:rPr>
          <w:rFonts w:hint="eastAsia" w:ascii="Times New Roman" w:hAnsi="Times New Roman" w:cs="Times New Roman"/>
          <w:sz w:val="24"/>
          <w:lang w:val="en-US" w:eastAsia="zh-CN"/>
        </w:rPr>
        <w:t>官网</w:t>
      </w:r>
      <w:r>
        <w:rPr>
          <w:rFonts w:hint="eastAsia" w:ascii="Times New Roman" w:hAnsi="Times New Roman" w:cs="Times New Roman"/>
          <w:sz w:val="24"/>
        </w:rPr>
        <w:t>公布的专利申请数据</w:t>
      </w:r>
      <w:r>
        <w:rPr>
          <w:rFonts w:hint="eastAsia" w:ascii="Times New Roman" w:hAnsi="Times New Roman" w:cs="Times New Roman"/>
          <w:sz w:val="24"/>
          <w:lang w:val="en-US" w:eastAsia="zh-CN"/>
        </w:rPr>
        <w:t>以及CNRDS数据库进行对照</w:t>
      </w:r>
    </w:p>
    <w:p w14:paraId="40E34580">
      <w:pPr>
        <w:rPr>
          <w:rFonts w:hint="eastAsia" w:ascii="Times New Roman" w:hAnsi="Times New Roman" w:cs="Times New Roman"/>
          <w:sz w:val="24"/>
          <w:lang w:val="en-US" w:eastAsia="zh-CN"/>
        </w:rPr>
      </w:pPr>
      <w:r>
        <w:rPr>
          <w:rFonts w:hint="eastAsia" w:ascii="Times New Roman" w:hAnsi="Times New Roman" w:cs="Times New Roman"/>
          <w:sz w:val="24"/>
          <w:lang w:val="en-US" w:eastAsia="zh-CN"/>
        </w:rPr>
        <w:t>采集方式：在专利检索及分析系统中导出专利信息</w:t>
      </w:r>
    </w:p>
    <w:p w14:paraId="56A0C14A">
      <w:pPr>
        <w:rPr>
          <w:rFonts w:hint="eastAsia" w:ascii="Times New Roman" w:hAnsi="Times New Roman" w:cs="Times New Roman"/>
          <w:color w:val="auto"/>
          <w:sz w:val="24"/>
          <w:lang w:val="en-US" w:eastAsia="zh-CN"/>
        </w:rPr>
      </w:pPr>
      <w:r>
        <w:rPr>
          <w:rFonts w:hint="eastAsia" w:ascii="Times New Roman" w:hAnsi="Times New Roman" w:cs="Times New Roman"/>
          <w:sz w:val="24"/>
          <w:lang w:val="en-US" w:eastAsia="zh-CN"/>
        </w:rPr>
        <w:t>处理方法：</w:t>
      </w:r>
      <w:r>
        <w:rPr>
          <w:rFonts w:hint="eastAsia" w:ascii="Times New Roman" w:hAnsi="Times New Roman" w:cs="Times New Roman"/>
          <w:color w:val="auto"/>
          <w:sz w:val="24"/>
        </w:rPr>
        <w:t>第一，样本筛选上，根据专利申请人信息剔除专利申请主体为居民个人以及企业</w:t>
      </w:r>
      <w:r>
        <w:rPr>
          <w:rFonts w:hint="eastAsia" w:ascii="Times New Roman" w:hAnsi="Times New Roman" w:cs="Times New Roman"/>
          <w:color w:val="auto"/>
          <w:sz w:val="24"/>
          <w:lang w:val="en-US" w:eastAsia="zh-CN"/>
        </w:rPr>
        <w:t>联合</w:t>
      </w:r>
      <w:r>
        <w:rPr>
          <w:rFonts w:hint="eastAsia" w:ascii="Times New Roman" w:hAnsi="Times New Roman" w:cs="Times New Roman"/>
          <w:color w:val="auto"/>
          <w:sz w:val="24"/>
        </w:rPr>
        <w:t>申请的样本；第二，</w:t>
      </w:r>
      <w:r>
        <w:rPr>
          <w:rFonts w:hint="eastAsia" w:ascii="Times New Roman" w:hAnsi="Times New Roman" w:cs="Times New Roman"/>
          <w:color w:val="auto"/>
          <w:sz w:val="24"/>
          <w:lang w:val="en-US" w:eastAsia="zh-CN"/>
        </w:rPr>
        <w:t>以科创走廊建设前三年为区间，计算企业独立申请发明专利数量的均值（非走廊内企业则按2016年的前三年），并加一取对数</w:t>
      </w:r>
    </w:p>
    <w:p w14:paraId="1B13ADE1">
      <w:pPr>
        <w:rPr>
          <w:rFonts w:hint="eastAsia" w:ascii="Times New Roman" w:hAnsi="Times New Roman" w:cs="Times New Roman"/>
          <w:color w:val="auto"/>
          <w:sz w:val="24"/>
          <w:lang w:val="en-US" w:eastAsia="zh-CN"/>
        </w:rPr>
      </w:pPr>
      <w:r>
        <w:rPr>
          <w:rFonts w:hint="eastAsia" w:ascii="Times New Roman" w:hAnsi="Times New Roman" w:cs="Times New Roman"/>
          <w:color w:val="auto"/>
          <w:sz w:val="24"/>
          <w:lang w:val="en-US" w:eastAsia="zh-CN"/>
        </w:rPr>
        <w:t>18. 企业生命周期</w:t>
      </w:r>
    </w:p>
    <w:p w14:paraId="64C8D465">
      <w:pPr>
        <w:rPr>
          <w:rFonts w:hint="eastAsia" w:ascii="Times New Roman" w:hAnsi="Times New Roman" w:cs="Times New Roman"/>
          <w:sz w:val="24"/>
          <w:lang w:val="en-US" w:eastAsia="zh-CN"/>
        </w:rPr>
      </w:pPr>
      <w:r>
        <w:rPr>
          <w:rFonts w:hint="eastAsia" w:ascii="Times New Roman" w:hAnsi="Times New Roman" w:cs="Times New Roman"/>
          <w:sz w:val="24"/>
          <w:lang w:val="en-US" w:eastAsia="zh-CN"/>
        </w:rPr>
        <w:t>来源：上市公司年报结合CSMAR数据库</w:t>
      </w:r>
    </w:p>
    <w:p w14:paraId="1BEED337">
      <w:pPr>
        <w:rPr>
          <w:rFonts w:hint="eastAsia" w:ascii="Times New Roman" w:hAnsi="Times New Roman" w:cs="Times New Roman"/>
          <w:sz w:val="24"/>
          <w:lang w:val="en-US" w:eastAsia="zh-CN"/>
        </w:rPr>
      </w:pPr>
      <w:r>
        <w:rPr>
          <w:rFonts w:hint="eastAsia" w:ascii="Times New Roman" w:hAnsi="Times New Roman" w:cs="Times New Roman"/>
          <w:sz w:val="24"/>
          <w:lang w:val="en-US" w:eastAsia="zh-CN"/>
        </w:rPr>
        <w:t>采集方式：导出经营活动、投资活动、筹资活动的现金流数据</w:t>
      </w:r>
    </w:p>
    <w:p w14:paraId="2FC4909B">
      <w:pPr>
        <w:rPr>
          <w:rFonts w:hint="default" w:ascii="Times New Roman" w:hAnsi="Times New Roman" w:cs="Times New Roman"/>
          <w:sz w:val="24"/>
          <w:lang w:val="en-US" w:eastAsia="zh-CN"/>
        </w:rPr>
      </w:pPr>
      <w:r>
        <w:rPr>
          <w:rFonts w:hint="eastAsia" w:ascii="Times New Roman" w:hAnsi="Times New Roman" w:cs="Times New Roman"/>
          <w:sz w:val="24"/>
          <w:lang w:val="en-US" w:eastAsia="zh-CN"/>
        </w:rPr>
        <w:t>处理方法：按现金流正负对三类活动进行正负标识，按表1进行阶段划分，</w:t>
      </w:r>
      <w:r>
        <w:rPr>
          <w:rFonts w:hint="eastAsia" w:ascii="Times New Roman" w:hAnsi="Times New Roman" w:cs="Times New Roman"/>
          <w:color w:val="auto"/>
          <w:sz w:val="24"/>
        </w:rPr>
        <w:t>鉴</w:t>
      </w:r>
      <w:r>
        <w:rPr>
          <w:rFonts w:hint="eastAsia" w:ascii="Times New Roman" w:hAnsi="Times New Roman" w:cs="Times New Roman"/>
          <w:sz w:val="24"/>
        </w:rPr>
        <w:t>于上市公司</w:t>
      </w:r>
      <w:r>
        <w:rPr>
          <w:rFonts w:hint="eastAsia" w:ascii="Times New Roman" w:hAnsi="Times New Roman" w:cs="Times New Roman"/>
          <w:sz w:val="24"/>
          <w:lang w:val="en-US" w:eastAsia="zh-CN"/>
        </w:rPr>
        <w:t>样本</w:t>
      </w:r>
      <w:r>
        <w:rPr>
          <w:rFonts w:hint="eastAsia" w:ascii="Times New Roman" w:hAnsi="Times New Roman" w:cs="Times New Roman"/>
          <w:sz w:val="24"/>
        </w:rPr>
        <w:t>已</w:t>
      </w:r>
      <w:r>
        <w:rPr>
          <w:rFonts w:hint="eastAsia" w:ascii="Times New Roman" w:hAnsi="Times New Roman" w:cs="Times New Roman"/>
          <w:sz w:val="24"/>
          <w:lang w:val="en-US" w:eastAsia="zh-CN"/>
        </w:rPr>
        <w:t>普遍</w:t>
      </w:r>
      <w:r>
        <w:rPr>
          <w:rFonts w:hint="eastAsia" w:ascii="Times New Roman" w:hAnsi="Times New Roman" w:cs="Times New Roman"/>
          <w:sz w:val="24"/>
        </w:rPr>
        <w:t>越过初创期，将导入期与增长期合并为</w:t>
      </w:r>
      <w:r>
        <w:rPr>
          <w:rFonts w:hint="eastAsia" w:ascii="Times New Roman" w:hAnsi="Times New Roman" w:cs="Times New Roman"/>
          <w:sz w:val="24"/>
          <w:lang w:eastAsia="zh-CN"/>
        </w:rPr>
        <w:t>“</w:t>
      </w:r>
      <w:r>
        <w:rPr>
          <w:rFonts w:hint="eastAsia" w:ascii="Times New Roman" w:hAnsi="Times New Roman" w:cs="Times New Roman"/>
          <w:sz w:val="24"/>
        </w:rPr>
        <w:t>成长期</w:t>
      </w:r>
      <w:r>
        <w:rPr>
          <w:rFonts w:hint="eastAsia" w:ascii="Times New Roman" w:hAnsi="Times New Roman" w:cs="Times New Roman"/>
          <w:sz w:val="24"/>
          <w:lang w:eastAsia="zh-CN"/>
        </w:rPr>
        <w:t>”</w:t>
      </w:r>
      <w:r>
        <w:rPr>
          <w:rFonts w:hint="eastAsia" w:ascii="Times New Roman" w:hAnsi="Times New Roman" w:cs="Times New Roman"/>
          <w:sz w:val="24"/>
        </w:rPr>
        <w:t>，衰退期与淘汰期合并为</w:t>
      </w:r>
      <w:r>
        <w:rPr>
          <w:rFonts w:hint="eastAsia" w:ascii="Times New Roman" w:hAnsi="Times New Roman" w:cs="Times New Roman"/>
          <w:sz w:val="24"/>
          <w:lang w:eastAsia="zh-CN"/>
        </w:rPr>
        <w:t>“</w:t>
      </w:r>
      <w:r>
        <w:rPr>
          <w:rFonts w:hint="eastAsia" w:ascii="Times New Roman" w:hAnsi="Times New Roman" w:cs="Times New Roman"/>
          <w:sz w:val="24"/>
        </w:rPr>
        <w:t>衰退期</w:t>
      </w:r>
      <w:r>
        <w:rPr>
          <w:rFonts w:hint="eastAsia" w:ascii="Times New Roman" w:hAnsi="Times New Roman" w:cs="Times New Roman"/>
          <w:sz w:val="24"/>
          <w:lang w:eastAsia="zh-CN"/>
        </w:rPr>
        <w:t>”</w:t>
      </w:r>
      <w:r>
        <w:rPr>
          <w:rFonts w:hint="eastAsia" w:ascii="Times New Roman" w:hAnsi="Times New Roman" w:cs="Times New Roman"/>
          <w:sz w:val="24"/>
        </w:rPr>
        <w:t>，最终</w:t>
      </w:r>
      <w:r>
        <w:rPr>
          <w:rFonts w:hint="eastAsia" w:ascii="Times New Roman" w:hAnsi="Times New Roman" w:cs="Times New Roman"/>
          <w:sz w:val="24"/>
          <w:lang w:val="en-US" w:eastAsia="zh-CN"/>
        </w:rPr>
        <w:t>将企业生命周期划分为成长期、成熟期和衰退期三类，最终成长期赋值1，成熟期赋值2，衰退期赋值3，并依次为标识进行分组回归</w:t>
      </w:r>
    </w:p>
    <w:p w14:paraId="3B322311">
      <w:pPr>
        <w:pStyle w:val="4"/>
        <w:numPr>
          <w:ilvl w:val="0"/>
          <w:numId w:val="0"/>
        </w:numPr>
        <w:bidi w:val="0"/>
        <w:ind w:leftChars="0"/>
        <w:jc w:val="center"/>
        <w:rPr>
          <w:rFonts w:hint="eastAsia"/>
        </w:rPr>
      </w:pPr>
      <w:r>
        <w:rPr>
          <w:rFonts w:hint="eastAsia"/>
        </w:rPr>
        <w:t>表</w:t>
      </w:r>
      <w:r>
        <w:rPr>
          <w:rFonts w:hint="eastAsia"/>
          <w:lang w:val="en-US" w:eastAsia="zh-CN"/>
        </w:rPr>
        <w:t xml:space="preserve">1 </w:t>
      </w:r>
      <w:r>
        <w:rPr>
          <w:rFonts w:hint="eastAsia"/>
        </w:rPr>
        <w:t>生命周期划分</w:t>
      </w:r>
    </w:p>
    <w:tbl>
      <w:tblPr>
        <w:tblStyle w:val="6"/>
        <w:tblW w:w="4998" w:type="pct"/>
        <w:tblInd w:w="0" w:type="dxa"/>
        <w:tblBorders>
          <w:top w:val="single" w:color="000000" w:sz="12" w:space="0"/>
          <w:left w:val="none" w:color="auto" w:sz="0" w:space="0"/>
          <w:bottom w:val="single" w:color="000000" w:sz="12"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40"/>
        <w:gridCol w:w="1087"/>
        <w:gridCol w:w="990"/>
        <w:gridCol w:w="1103"/>
        <w:gridCol w:w="990"/>
        <w:gridCol w:w="3509"/>
      </w:tblGrid>
      <w:tr w14:paraId="3FC835BA">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shd w:val="clear" w:color="auto" w:fill="auto"/>
        </w:tblPrEx>
        <w:trPr>
          <w:trHeight w:val="270" w:hRule="atLeast"/>
        </w:trPr>
        <w:tc>
          <w:tcPr>
            <w:tcW w:w="1131" w:type="pct"/>
            <w:gridSpan w:val="2"/>
            <w:tcBorders>
              <w:top w:val="single" w:color="000000" w:sz="4" w:space="0"/>
              <w:bottom w:val="nil"/>
            </w:tcBorders>
            <w:shd w:val="clear" w:color="auto" w:fill="auto"/>
            <w:vAlign w:val="center"/>
          </w:tcPr>
          <w:p w14:paraId="3C5CA1A0">
            <w:pPr>
              <w:jc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生命周期阶段</w:t>
            </w:r>
          </w:p>
        </w:tc>
        <w:tc>
          <w:tcPr>
            <w:tcW w:w="581" w:type="pct"/>
            <w:tcBorders>
              <w:top w:val="single" w:color="000000" w:sz="4" w:space="0"/>
              <w:bottom w:val="nil"/>
            </w:tcBorders>
            <w:shd w:val="clear" w:color="auto" w:fill="auto"/>
            <w:vAlign w:val="center"/>
          </w:tcPr>
          <w:p w14:paraId="391608E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经营</w:t>
            </w:r>
            <w:r>
              <w:rPr>
                <w:rStyle w:val="9"/>
                <w:rFonts w:hint="default" w:ascii="Times New Roman" w:hAnsi="Times New Roman" w:cs="Times New Roman"/>
                <w:lang w:val="en-US" w:eastAsia="zh-CN" w:bidi="ar"/>
              </w:rPr>
              <w:t>活动</w:t>
            </w:r>
          </w:p>
        </w:tc>
        <w:tc>
          <w:tcPr>
            <w:tcW w:w="647" w:type="pct"/>
            <w:tcBorders>
              <w:top w:val="single" w:color="000000" w:sz="4" w:space="0"/>
              <w:bottom w:val="nil"/>
            </w:tcBorders>
            <w:shd w:val="clear" w:color="auto" w:fill="auto"/>
            <w:vAlign w:val="center"/>
          </w:tcPr>
          <w:p w14:paraId="3E549E0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投资</w:t>
            </w:r>
            <w:r>
              <w:rPr>
                <w:rStyle w:val="9"/>
                <w:rFonts w:hint="default" w:ascii="Times New Roman" w:hAnsi="Times New Roman" w:cs="Times New Roman"/>
                <w:lang w:val="en-US" w:eastAsia="zh-CN" w:bidi="ar"/>
              </w:rPr>
              <w:t>活动</w:t>
            </w:r>
          </w:p>
        </w:tc>
        <w:tc>
          <w:tcPr>
            <w:tcW w:w="581" w:type="pct"/>
            <w:tcBorders>
              <w:top w:val="single" w:color="000000" w:sz="4" w:space="0"/>
              <w:bottom w:val="nil"/>
            </w:tcBorders>
            <w:shd w:val="clear" w:color="auto" w:fill="auto"/>
            <w:vAlign w:val="center"/>
          </w:tcPr>
          <w:p w14:paraId="1F94F0F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筹资</w:t>
            </w:r>
            <w:r>
              <w:rPr>
                <w:rStyle w:val="9"/>
                <w:rFonts w:hint="default" w:ascii="Times New Roman" w:hAnsi="Times New Roman" w:cs="Times New Roman"/>
                <w:lang w:val="en-US" w:eastAsia="zh-CN" w:bidi="ar"/>
              </w:rPr>
              <w:t>活动</w:t>
            </w:r>
          </w:p>
        </w:tc>
        <w:tc>
          <w:tcPr>
            <w:tcW w:w="2059" w:type="pct"/>
            <w:tcBorders>
              <w:top w:val="single" w:color="000000" w:sz="4" w:space="0"/>
              <w:bottom w:val="nil"/>
            </w:tcBorders>
            <w:shd w:val="clear" w:color="auto" w:fill="auto"/>
            <w:vAlign w:val="center"/>
          </w:tcPr>
          <w:p w14:paraId="1D85CA39">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典型特征</w:t>
            </w:r>
          </w:p>
        </w:tc>
      </w:tr>
      <w:tr w14:paraId="32B64B14">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93" w:type="pct"/>
            <w:vMerge w:val="restart"/>
            <w:tcBorders>
              <w:top w:val="nil"/>
              <w:bottom w:val="nil"/>
            </w:tcBorders>
            <w:shd w:val="clear" w:color="auto" w:fill="auto"/>
            <w:vAlign w:val="center"/>
          </w:tcPr>
          <w:p w14:paraId="10A211B1">
            <w:pPr>
              <w:keepNext w:val="0"/>
              <w:keepLines w:val="0"/>
              <w:widowControl/>
              <w:suppressLineNumbers w:val="0"/>
              <w:jc w:val="center"/>
              <w:textAlignment w:val="top"/>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成长期</w:t>
            </w:r>
          </w:p>
        </w:tc>
        <w:tc>
          <w:tcPr>
            <w:tcW w:w="637" w:type="pct"/>
            <w:tcBorders>
              <w:top w:val="nil"/>
              <w:bottom w:val="nil"/>
            </w:tcBorders>
            <w:shd w:val="clear" w:color="auto" w:fill="auto"/>
            <w:vAlign w:val="center"/>
          </w:tcPr>
          <w:p w14:paraId="0B8FDDCD">
            <w:pPr>
              <w:keepNext w:val="0"/>
              <w:keepLines w:val="0"/>
              <w:widowControl/>
              <w:suppressLineNumbers w:val="0"/>
              <w:jc w:val="center"/>
              <w:textAlignment w:val="top"/>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导入期</w:t>
            </w:r>
          </w:p>
        </w:tc>
        <w:tc>
          <w:tcPr>
            <w:tcW w:w="581" w:type="pct"/>
            <w:tcBorders>
              <w:top w:val="nil"/>
              <w:bottom w:val="nil"/>
            </w:tcBorders>
            <w:shd w:val="clear" w:color="auto" w:fill="auto"/>
            <w:vAlign w:val="center"/>
          </w:tcPr>
          <w:p w14:paraId="77FA720E">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w:t>
            </w:r>
          </w:p>
        </w:tc>
        <w:tc>
          <w:tcPr>
            <w:tcW w:w="647" w:type="pct"/>
            <w:tcBorders>
              <w:top w:val="nil"/>
              <w:bottom w:val="nil"/>
            </w:tcBorders>
            <w:shd w:val="clear" w:color="auto" w:fill="auto"/>
            <w:vAlign w:val="center"/>
          </w:tcPr>
          <w:p w14:paraId="3E17A803">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w:t>
            </w:r>
          </w:p>
        </w:tc>
        <w:tc>
          <w:tcPr>
            <w:tcW w:w="581" w:type="pct"/>
            <w:tcBorders>
              <w:top w:val="nil"/>
              <w:bottom w:val="nil"/>
            </w:tcBorders>
            <w:shd w:val="clear" w:color="auto" w:fill="auto"/>
            <w:vAlign w:val="center"/>
          </w:tcPr>
          <w:p w14:paraId="3F8279B9">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w:t>
            </w:r>
          </w:p>
        </w:tc>
        <w:tc>
          <w:tcPr>
            <w:tcW w:w="2059" w:type="pct"/>
            <w:vMerge w:val="restart"/>
            <w:tcBorders>
              <w:top w:val="nil"/>
              <w:bottom w:val="nil"/>
            </w:tcBorders>
            <w:shd w:val="clear" w:color="auto" w:fill="auto"/>
            <w:vAlign w:val="center"/>
          </w:tcPr>
          <w:p w14:paraId="618CC331">
            <w:pPr>
              <w:jc w:val="left"/>
              <w:rPr>
                <w:rFonts w:hint="default" w:ascii="Times New Roman" w:hAnsi="Times New Roman" w:eastAsia="宋体" w:cs="Times New Roman"/>
                <w:i w:val="0"/>
                <w:iCs w:val="0"/>
                <w:color w:val="auto"/>
                <w:sz w:val="18"/>
                <w:szCs w:val="18"/>
                <w:u w:val="none"/>
                <w:lang w:val="en-US" w:eastAsia="zh-CN"/>
              </w:rPr>
            </w:pPr>
            <w:r>
              <w:rPr>
                <w:rFonts w:hint="eastAsia" w:ascii="Times New Roman" w:hAnsi="Times New Roman" w:eastAsia="宋体" w:cs="Times New Roman"/>
                <w:i w:val="0"/>
                <w:iCs w:val="0"/>
                <w:color w:val="auto"/>
                <w:sz w:val="18"/>
                <w:szCs w:val="18"/>
                <w:u w:val="none"/>
                <w:lang w:val="en-US" w:eastAsia="zh-CN"/>
              </w:rPr>
              <w:t>加大资本支出满足快速增长需求，且依赖外部融资来维持运营</w:t>
            </w:r>
          </w:p>
        </w:tc>
      </w:tr>
      <w:tr w14:paraId="34AC4C50">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93" w:type="pct"/>
            <w:vMerge w:val="continue"/>
            <w:tcBorders>
              <w:top w:val="nil"/>
              <w:bottom w:val="nil"/>
            </w:tcBorders>
            <w:shd w:val="clear" w:color="auto" w:fill="auto"/>
            <w:vAlign w:val="center"/>
          </w:tcPr>
          <w:p w14:paraId="38E9C3C7">
            <w:pPr>
              <w:jc w:val="center"/>
              <w:rPr>
                <w:rFonts w:hint="default" w:ascii="Times New Roman" w:hAnsi="Times New Roman" w:eastAsia="宋体" w:cs="Times New Roman"/>
                <w:i w:val="0"/>
                <w:iCs w:val="0"/>
                <w:color w:val="000000"/>
                <w:sz w:val="18"/>
                <w:szCs w:val="18"/>
                <w:u w:val="none"/>
              </w:rPr>
            </w:pPr>
          </w:p>
        </w:tc>
        <w:tc>
          <w:tcPr>
            <w:tcW w:w="637" w:type="pct"/>
            <w:tcBorders>
              <w:top w:val="nil"/>
              <w:bottom w:val="nil"/>
            </w:tcBorders>
            <w:shd w:val="clear" w:color="auto" w:fill="auto"/>
            <w:vAlign w:val="center"/>
          </w:tcPr>
          <w:p w14:paraId="0AB5203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增长期</w:t>
            </w:r>
          </w:p>
        </w:tc>
        <w:tc>
          <w:tcPr>
            <w:tcW w:w="581" w:type="pct"/>
            <w:tcBorders>
              <w:top w:val="nil"/>
              <w:bottom w:val="nil"/>
            </w:tcBorders>
            <w:shd w:val="clear" w:color="auto" w:fill="auto"/>
            <w:vAlign w:val="center"/>
          </w:tcPr>
          <w:p w14:paraId="33CD83A9">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w:t>
            </w:r>
          </w:p>
        </w:tc>
        <w:tc>
          <w:tcPr>
            <w:tcW w:w="647" w:type="pct"/>
            <w:tcBorders>
              <w:top w:val="nil"/>
              <w:bottom w:val="nil"/>
            </w:tcBorders>
            <w:shd w:val="clear" w:color="auto" w:fill="auto"/>
            <w:vAlign w:val="center"/>
          </w:tcPr>
          <w:p w14:paraId="0756390C">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w:t>
            </w:r>
          </w:p>
        </w:tc>
        <w:tc>
          <w:tcPr>
            <w:tcW w:w="581" w:type="pct"/>
            <w:tcBorders>
              <w:top w:val="nil"/>
              <w:bottom w:val="nil"/>
            </w:tcBorders>
            <w:shd w:val="clear" w:color="auto" w:fill="auto"/>
            <w:vAlign w:val="center"/>
          </w:tcPr>
          <w:p w14:paraId="36986766">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w:t>
            </w:r>
          </w:p>
        </w:tc>
        <w:tc>
          <w:tcPr>
            <w:tcW w:w="2059" w:type="pct"/>
            <w:vMerge w:val="continue"/>
            <w:tcBorders>
              <w:top w:val="nil"/>
              <w:bottom w:val="nil"/>
            </w:tcBorders>
            <w:shd w:val="clear" w:color="auto" w:fill="auto"/>
            <w:vAlign w:val="center"/>
          </w:tcPr>
          <w:p w14:paraId="246F373F">
            <w:pPr>
              <w:jc w:val="left"/>
              <w:rPr>
                <w:rFonts w:hint="default" w:ascii="Times New Roman" w:hAnsi="Times New Roman" w:eastAsia="宋体" w:cs="Times New Roman"/>
                <w:i w:val="0"/>
                <w:iCs w:val="0"/>
                <w:color w:val="auto"/>
                <w:sz w:val="18"/>
                <w:szCs w:val="18"/>
                <w:u w:val="none"/>
              </w:rPr>
            </w:pPr>
          </w:p>
        </w:tc>
      </w:tr>
      <w:tr w14:paraId="221F53EE">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93" w:type="pct"/>
            <w:tcBorders>
              <w:top w:val="nil"/>
              <w:bottom w:val="nil"/>
            </w:tcBorders>
            <w:shd w:val="clear" w:color="auto" w:fill="auto"/>
            <w:vAlign w:val="center"/>
          </w:tcPr>
          <w:p w14:paraId="153D53A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成熟期</w:t>
            </w:r>
          </w:p>
        </w:tc>
        <w:tc>
          <w:tcPr>
            <w:tcW w:w="637" w:type="pct"/>
            <w:tcBorders>
              <w:top w:val="nil"/>
              <w:bottom w:val="nil"/>
            </w:tcBorders>
            <w:shd w:val="clear" w:color="auto" w:fill="auto"/>
            <w:vAlign w:val="center"/>
          </w:tcPr>
          <w:p w14:paraId="5E1FBBD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成熟期</w:t>
            </w:r>
          </w:p>
        </w:tc>
        <w:tc>
          <w:tcPr>
            <w:tcW w:w="581" w:type="pct"/>
            <w:tcBorders>
              <w:top w:val="nil"/>
              <w:bottom w:val="nil"/>
            </w:tcBorders>
            <w:shd w:val="clear" w:color="auto" w:fill="auto"/>
            <w:vAlign w:val="center"/>
          </w:tcPr>
          <w:p w14:paraId="6819FC14">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w:t>
            </w:r>
          </w:p>
        </w:tc>
        <w:tc>
          <w:tcPr>
            <w:tcW w:w="647" w:type="pct"/>
            <w:tcBorders>
              <w:top w:val="nil"/>
              <w:bottom w:val="nil"/>
            </w:tcBorders>
            <w:shd w:val="clear" w:color="auto" w:fill="auto"/>
            <w:vAlign w:val="center"/>
          </w:tcPr>
          <w:p w14:paraId="0739B436">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w:t>
            </w:r>
          </w:p>
        </w:tc>
        <w:tc>
          <w:tcPr>
            <w:tcW w:w="581" w:type="pct"/>
            <w:tcBorders>
              <w:top w:val="nil"/>
              <w:bottom w:val="nil"/>
            </w:tcBorders>
            <w:shd w:val="clear" w:color="auto" w:fill="auto"/>
            <w:vAlign w:val="center"/>
          </w:tcPr>
          <w:p w14:paraId="4A193816">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w:t>
            </w:r>
          </w:p>
        </w:tc>
        <w:tc>
          <w:tcPr>
            <w:tcW w:w="2059" w:type="pct"/>
            <w:tcBorders>
              <w:top w:val="nil"/>
              <w:bottom w:val="nil"/>
            </w:tcBorders>
            <w:shd w:val="clear" w:color="auto" w:fill="auto"/>
            <w:vAlign w:val="center"/>
          </w:tcPr>
          <w:p w14:paraId="1F2F8192">
            <w:pPr>
              <w:jc w:val="left"/>
              <w:rPr>
                <w:rFonts w:hint="default" w:ascii="Times New Roman" w:hAnsi="Times New Roman" w:eastAsia="宋体" w:cs="Times New Roman"/>
                <w:i w:val="0"/>
                <w:iCs w:val="0"/>
                <w:color w:val="auto"/>
                <w:sz w:val="18"/>
                <w:szCs w:val="18"/>
                <w:u w:val="none"/>
                <w:lang w:val="en-US" w:eastAsia="zh-CN"/>
              </w:rPr>
            </w:pPr>
            <w:r>
              <w:rPr>
                <w:rFonts w:hint="eastAsia" w:ascii="Times New Roman" w:hAnsi="Times New Roman" w:eastAsia="宋体" w:cs="Times New Roman"/>
                <w:i w:val="0"/>
                <w:iCs w:val="0"/>
                <w:color w:val="auto"/>
                <w:sz w:val="18"/>
                <w:szCs w:val="18"/>
                <w:u w:val="none"/>
                <w:lang w:val="en-US" w:eastAsia="zh-CN"/>
              </w:rPr>
              <w:t>主营业务收入成为最主要现金流来源，且开始进行资本回报</w:t>
            </w:r>
          </w:p>
        </w:tc>
      </w:tr>
      <w:tr w14:paraId="6992DDD8">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93" w:type="pct"/>
            <w:tcBorders>
              <w:top w:val="nil"/>
              <w:bottom w:val="single" w:color="000000" w:sz="4" w:space="0"/>
            </w:tcBorders>
            <w:shd w:val="clear" w:color="auto" w:fill="auto"/>
            <w:vAlign w:val="center"/>
          </w:tcPr>
          <w:p w14:paraId="214E6B8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衰退期</w:t>
            </w:r>
          </w:p>
        </w:tc>
        <w:tc>
          <w:tcPr>
            <w:tcW w:w="637" w:type="pct"/>
            <w:tcBorders>
              <w:top w:val="nil"/>
              <w:bottom w:val="single" w:color="000000" w:sz="4" w:space="0"/>
            </w:tcBorders>
            <w:shd w:val="clear" w:color="auto" w:fill="auto"/>
            <w:vAlign w:val="center"/>
          </w:tcPr>
          <w:p w14:paraId="78E67C0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淘汰期</w:t>
            </w:r>
          </w:p>
        </w:tc>
        <w:tc>
          <w:tcPr>
            <w:tcW w:w="581" w:type="pct"/>
            <w:tcBorders>
              <w:top w:val="nil"/>
              <w:bottom w:val="single" w:color="000000" w:sz="4" w:space="0"/>
            </w:tcBorders>
            <w:shd w:val="clear" w:color="auto" w:fill="auto"/>
            <w:vAlign w:val="center"/>
          </w:tcPr>
          <w:p w14:paraId="44183B8D">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w:t>
            </w:r>
          </w:p>
        </w:tc>
        <w:tc>
          <w:tcPr>
            <w:tcW w:w="647" w:type="pct"/>
            <w:tcBorders>
              <w:top w:val="nil"/>
              <w:bottom w:val="single" w:color="000000" w:sz="4" w:space="0"/>
            </w:tcBorders>
            <w:shd w:val="clear" w:color="auto" w:fill="auto"/>
            <w:vAlign w:val="center"/>
          </w:tcPr>
          <w:p w14:paraId="4B7897C8">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w:t>
            </w:r>
          </w:p>
        </w:tc>
        <w:tc>
          <w:tcPr>
            <w:tcW w:w="581" w:type="pct"/>
            <w:tcBorders>
              <w:top w:val="nil"/>
              <w:bottom w:val="single" w:color="000000" w:sz="4" w:space="0"/>
            </w:tcBorders>
            <w:shd w:val="clear" w:color="auto" w:fill="auto"/>
            <w:vAlign w:val="center"/>
          </w:tcPr>
          <w:p w14:paraId="3E47D1DE">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w:t>
            </w:r>
          </w:p>
        </w:tc>
        <w:tc>
          <w:tcPr>
            <w:tcW w:w="2059" w:type="pct"/>
            <w:tcBorders>
              <w:top w:val="nil"/>
              <w:bottom w:val="single" w:color="000000" w:sz="4" w:space="0"/>
            </w:tcBorders>
            <w:shd w:val="clear" w:color="auto" w:fill="auto"/>
            <w:vAlign w:val="center"/>
          </w:tcPr>
          <w:p w14:paraId="5B7600F7">
            <w:pPr>
              <w:jc w:val="both"/>
              <w:rPr>
                <w:rFonts w:hint="default" w:ascii="Times New Roman" w:hAnsi="Times New Roman" w:eastAsia="宋体" w:cs="Times New Roman"/>
                <w:i w:val="0"/>
                <w:iCs w:val="0"/>
                <w:color w:val="auto"/>
                <w:sz w:val="18"/>
                <w:szCs w:val="18"/>
                <w:u w:val="none"/>
                <w:lang w:val="en-US" w:eastAsia="zh-CN"/>
              </w:rPr>
            </w:pPr>
            <w:r>
              <w:rPr>
                <w:rFonts w:hint="eastAsia" w:ascii="Times New Roman" w:hAnsi="Times New Roman" w:eastAsia="宋体" w:cs="Times New Roman"/>
                <w:i w:val="0"/>
                <w:iCs w:val="0"/>
                <w:color w:val="auto"/>
                <w:sz w:val="18"/>
                <w:szCs w:val="18"/>
                <w:u w:val="none"/>
                <w:lang w:val="en-US" w:eastAsia="zh-CN"/>
              </w:rPr>
              <w:t>主营业务盈利能力下降，或通过出售资产回笼资金</w:t>
            </w:r>
          </w:p>
        </w:tc>
      </w:tr>
    </w:tbl>
    <w:p w14:paraId="245F065D">
      <w:pPr>
        <w:rPr>
          <w:rFonts w:hint="eastAsia" w:ascii="Times New Roman" w:hAnsi="Times New Roman" w:cs="Times New Roman"/>
          <w:sz w:val="24"/>
          <w:lang w:val="en-US" w:eastAsia="zh-CN"/>
        </w:rPr>
      </w:pPr>
      <w:r>
        <w:rPr>
          <w:rFonts w:hint="eastAsia" w:ascii="Times New Roman" w:hAnsi="Times New Roman" w:cs="Times New Roman"/>
          <w:sz w:val="24"/>
          <w:lang w:val="en-US" w:eastAsia="zh-CN"/>
        </w:rPr>
        <w:t>19. 合作对象偏好</w:t>
      </w:r>
    </w:p>
    <w:p w14:paraId="35A0723F">
      <w:pPr>
        <w:rPr>
          <w:rFonts w:hint="default" w:ascii="Times New Roman" w:hAnsi="Times New Roman" w:cs="Times New Roman" w:eastAsiaTheme="minorEastAsia"/>
          <w:sz w:val="24"/>
          <w:lang w:val="en-US" w:eastAsia="zh-CN"/>
        </w:rPr>
      </w:pPr>
      <w:r>
        <w:rPr>
          <w:rFonts w:hint="eastAsia" w:ascii="Times New Roman" w:hAnsi="Times New Roman" w:cs="Times New Roman"/>
          <w:sz w:val="24"/>
          <w:lang w:val="en-US" w:eastAsia="zh-CN"/>
        </w:rPr>
        <w:t>来源：</w:t>
      </w:r>
      <w:r>
        <w:rPr>
          <w:rFonts w:hint="eastAsia" w:ascii="Times New Roman" w:hAnsi="Times New Roman" w:cs="Times New Roman"/>
          <w:sz w:val="24"/>
        </w:rPr>
        <w:t>国家知识产权局</w:t>
      </w:r>
      <w:r>
        <w:rPr>
          <w:rFonts w:hint="eastAsia" w:ascii="Times New Roman" w:hAnsi="Times New Roman" w:cs="Times New Roman"/>
          <w:sz w:val="24"/>
          <w:lang w:val="en-US" w:eastAsia="zh-CN"/>
        </w:rPr>
        <w:t>官网</w:t>
      </w:r>
      <w:r>
        <w:rPr>
          <w:rFonts w:hint="eastAsia" w:ascii="Times New Roman" w:hAnsi="Times New Roman" w:cs="Times New Roman"/>
          <w:sz w:val="24"/>
        </w:rPr>
        <w:t>公布的专利申请数据</w:t>
      </w:r>
      <w:r>
        <w:rPr>
          <w:rFonts w:hint="eastAsia" w:ascii="Times New Roman" w:hAnsi="Times New Roman" w:cs="Times New Roman"/>
          <w:sz w:val="24"/>
          <w:lang w:val="en-US" w:eastAsia="zh-CN"/>
        </w:rPr>
        <w:t>以及CNRDS数据库进行对照</w:t>
      </w:r>
    </w:p>
    <w:p w14:paraId="7E426202">
      <w:pPr>
        <w:rPr>
          <w:rFonts w:hint="eastAsia" w:ascii="Times New Roman" w:hAnsi="Times New Roman" w:cs="Times New Roman"/>
          <w:sz w:val="24"/>
          <w:lang w:val="en-US" w:eastAsia="zh-CN"/>
        </w:rPr>
      </w:pPr>
      <w:r>
        <w:rPr>
          <w:rFonts w:hint="eastAsia" w:ascii="Times New Roman" w:hAnsi="Times New Roman" w:cs="Times New Roman"/>
          <w:sz w:val="24"/>
          <w:lang w:val="en-US" w:eastAsia="zh-CN"/>
        </w:rPr>
        <w:t>采集方式：在专利检索及分析系统中导出专利信息</w:t>
      </w:r>
    </w:p>
    <w:p w14:paraId="107207C0">
      <w:pPr>
        <w:rPr>
          <w:rFonts w:hint="eastAsia" w:ascii="Times New Roman" w:hAnsi="Times New Roman" w:cs="Times New Roman"/>
          <w:color w:val="auto"/>
          <w:sz w:val="24"/>
          <w:lang w:val="en-US" w:eastAsia="zh-CN"/>
        </w:rPr>
      </w:pPr>
      <w:r>
        <w:rPr>
          <w:rFonts w:hint="eastAsia" w:ascii="Times New Roman" w:hAnsi="Times New Roman" w:cs="Times New Roman"/>
          <w:sz w:val="24"/>
          <w:lang w:val="en-US" w:eastAsia="zh-CN"/>
        </w:rPr>
        <w:t>处理方法：</w:t>
      </w:r>
      <w:r>
        <w:rPr>
          <w:rFonts w:hint="eastAsia" w:ascii="Times New Roman" w:hAnsi="Times New Roman" w:cs="Times New Roman"/>
          <w:color w:val="auto"/>
          <w:sz w:val="24"/>
        </w:rPr>
        <w:t>第一，样本筛选上，根据专利申请人信息剔除专利申请主体为居民个人以及企业独立申请的样本；第二，根据企业工商注册数据以及企查查、百度地图等辅助平台，识别专利申请主体的地级市归属；第三，若一项专利的共同申请主体归属于两个及以上的地级市，则根据专利申请日将该专利视为企业在当年的跨区域合作创新事件；第四，考虑到企业与子公司、联营公司、合营公司的联合申请专利更多体现为企业内部的合作，对这一部分的联合申请专利进行剔除</w:t>
      </w:r>
      <w:r>
        <w:rPr>
          <w:rFonts w:hint="eastAsia" w:ascii="Times New Roman" w:hAnsi="Times New Roman" w:cs="Times New Roman"/>
          <w:color w:val="auto"/>
          <w:sz w:val="24"/>
          <w:lang w:eastAsia="zh-CN"/>
        </w:rPr>
        <w:t>；</w:t>
      </w:r>
      <w:r>
        <w:rPr>
          <w:rFonts w:hint="eastAsia" w:ascii="Times New Roman" w:hAnsi="Times New Roman" w:cs="Times New Roman"/>
          <w:color w:val="auto"/>
          <w:sz w:val="24"/>
          <w:lang w:val="en-US" w:eastAsia="zh-CN"/>
        </w:rPr>
        <w:t>第五，识别专利申请主体的性质，包括企业、高校和科研院所，分别统计专利申请中除第一申请人外包含企业/高校/科研院所的发明专利申请数，并加一取对数</w:t>
      </w:r>
    </w:p>
    <w:p w14:paraId="5A16237E">
      <w:pPr>
        <w:rPr>
          <w:rFonts w:hint="eastAsia" w:ascii="Times New Roman" w:hAnsi="Times New Roman" w:cs="Times New Roman"/>
          <w:color w:val="auto"/>
          <w:sz w:val="24"/>
          <w:lang w:val="en-US" w:eastAsia="zh-CN"/>
        </w:rPr>
      </w:pPr>
      <w:r>
        <w:rPr>
          <w:rFonts w:hint="eastAsia" w:ascii="Times New Roman" w:hAnsi="Times New Roman" w:cs="Times New Roman"/>
          <w:color w:val="auto"/>
          <w:sz w:val="24"/>
          <w:lang w:val="en-US" w:eastAsia="zh-CN"/>
        </w:rPr>
        <w:t>20. 合作空间偏好</w:t>
      </w:r>
    </w:p>
    <w:p w14:paraId="723F5C9B">
      <w:pPr>
        <w:rPr>
          <w:rFonts w:hint="default" w:ascii="Times New Roman" w:hAnsi="Times New Roman" w:cs="Times New Roman" w:eastAsiaTheme="minorEastAsia"/>
          <w:sz w:val="24"/>
          <w:lang w:val="en-US" w:eastAsia="zh-CN"/>
        </w:rPr>
      </w:pPr>
      <w:r>
        <w:rPr>
          <w:rFonts w:hint="eastAsia" w:ascii="Times New Roman" w:hAnsi="Times New Roman" w:cs="Times New Roman"/>
          <w:sz w:val="24"/>
          <w:lang w:val="en-US" w:eastAsia="zh-CN"/>
        </w:rPr>
        <w:t>来源：</w:t>
      </w:r>
      <w:r>
        <w:rPr>
          <w:rFonts w:hint="eastAsia" w:ascii="Times New Roman" w:hAnsi="Times New Roman" w:cs="Times New Roman"/>
          <w:sz w:val="24"/>
        </w:rPr>
        <w:t>国家知识产权局</w:t>
      </w:r>
      <w:r>
        <w:rPr>
          <w:rFonts w:hint="eastAsia" w:ascii="Times New Roman" w:hAnsi="Times New Roman" w:cs="Times New Roman"/>
          <w:sz w:val="24"/>
          <w:lang w:val="en-US" w:eastAsia="zh-CN"/>
        </w:rPr>
        <w:t>官网</w:t>
      </w:r>
      <w:r>
        <w:rPr>
          <w:rFonts w:hint="eastAsia" w:ascii="Times New Roman" w:hAnsi="Times New Roman" w:cs="Times New Roman"/>
          <w:sz w:val="24"/>
        </w:rPr>
        <w:t>公布的专利申请数据</w:t>
      </w:r>
      <w:r>
        <w:rPr>
          <w:rFonts w:hint="eastAsia" w:ascii="Times New Roman" w:hAnsi="Times New Roman" w:cs="Times New Roman"/>
          <w:sz w:val="24"/>
          <w:lang w:val="en-US" w:eastAsia="zh-CN"/>
        </w:rPr>
        <w:t>以及CNRDS数据库进行对照</w:t>
      </w:r>
    </w:p>
    <w:p w14:paraId="33D14B5D">
      <w:pPr>
        <w:rPr>
          <w:rFonts w:hint="eastAsia" w:ascii="Times New Roman" w:hAnsi="Times New Roman" w:cs="Times New Roman"/>
          <w:sz w:val="24"/>
          <w:lang w:val="en-US" w:eastAsia="zh-CN"/>
        </w:rPr>
      </w:pPr>
      <w:r>
        <w:rPr>
          <w:rFonts w:hint="eastAsia" w:ascii="Times New Roman" w:hAnsi="Times New Roman" w:cs="Times New Roman"/>
          <w:sz w:val="24"/>
          <w:lang w:val="en-US" w:eastAsia="zh-CN"/>
        </w:rPr>
        <w:t>采集方式：在专利检索及分析系统中导出专利信息</w:t>
      </w:r>
    </w:p>
    <w:p w14:paraId="0300C638">
      <w:pPr>
        <w:rPr>
          <w:rFonts w:hint="default" w:ascii="Times New Roman" w:hAnsi="Times New Roman" w:cs="Times New Roman"/>
          <w:sz w:val="24"/>
          <w:lang w:val="en-US" w:eastAsia="zh-CN"/>
        </w:rPr>
      </w:pPr>
      <w:r>
        <w:rPr>
          <w:rFonts w:hint="eastAsia" w:ascii="Times New Roman" w:hAnsi="Times New Roman" w:cs="Times New Roman"/>
          <w:sz w:val="24"/>
          <w:lang w:val="en-US" w:eastAsia="zh-CN"/>
        </w:rPr>
        <w:t>处理方法：</w:t>
      </w:r>
      <w:r>
        <w:rPr>
          <w:rFonts w:hint="eastAsia" w:ascii="Times New Roman" w:hAnsi="Times New Roman" w:cs="Times New Roman"/>
          <w:color w:val="auto"/>
          <w:sz w:val="24"/>
        </w:rPr>
        <w:t>第一，样本筛选上，根据专利申请人信息剔除专利申请主体为居民个人以及企业独立申请的样本；第二，根据企业工商注册数据以及企查查、百度地图等辅助平台，识别专利申请主体的地级市归属；第三，若一项专利的共同申请主体归属于两个及以上的地级市，则根据专利申请日将该专利视为企业在当年的跨区域合作创新事件；第四，考虑到企业与子公司、联营公司、合营公司的联合申请专利更多体现为企业内部的合作，对这一部分的联合申请专利进行剔除</w:t>
      </w:r>
      <w:r>
        <w:rPr>
          <w:rFonts w:hint="eastAsia" w:ascii="Times New Roman" w:hAnsi="Times New Roman" w:cs="Times New Roman"/>
          <w:color w:val="auto"/>
          <w:sz w:val="24"/>
          <w:lang w:eastAsia="zh-CN"/>
        </w:rPr>
        <w:t>；</w:t>
      </w:r>
      <w:r>
        <w:rPr>
          <w:rFonts w:hint="eastAsia" w:ascii="Times New Roman" w:hAnsi="Times New Roman" w:cs="Times New Roman"/>
          <w:color w:val="auto"/>
          <w:sz w:val="24"/>
          <w:lang w:val="en-US" w:eastAsia="zh-CN"/>
        </w:rPr>
        <w:t>第五，识别专利申请主体的所在地，按是否属于科创走廊九城进行划分，分别统计专利申请中除第一申请人外均为走廊内城市主体的发明专利申请数，以及包括走廊内及走廊外或仅走廊外城市主体的发明专利申请数，并加一取对数</w:t>
      </w:r>
    </w:p>
    <w:p w14:paraId="1BA2627D">
      <w:pPr>
        <w:rPr>
          <w:rFonts w:hint="default" w:ascii="Times New Roman" w:hAnsi="Times New Roman" w:cs="Times New Roman"/>
          <w:sz w:val="24"/>
          <w:lang w:val="en-US" w:eastAsia="zh-CN"/>
        </w:rPr>
      </w:pPr>
    </w:p>
    <w:p w14:paraId="6B1F185B">
      <w:pPr>
        <w:rPr>
          <w:rFonts w:hint="default" w:ascii="Times New Roman" w:hAnsi="Times New Roman" w:cs="Times New Roman"/>
          <w:sz w:val="24"/>
          <w:lang w:val="en-US" w:eastAsia="zh-CN"/>
        </w:rPr>
      </w:pPr>
    </w:p>
    <w:p w14:paraId="786B1194">
      <w:pPr>
        <w:rPr>
          <w:rFonts w:hint="default" w:ascii="Times New Roman" w:hAnsi="Times New Roman" w:cs="Times New Roman"/>
          <w:sz w:val="24"/>
          <w:lang w:val="en-US" w:eastAsia="zh-CN"/>
        </w:rPr>
      </w:pPr>
    </w:p>
    <w:p w14:paraId="289321BD">
      <w:pPr>
        <w:rPr>
          <w:rFonts w:hint="eastAsia" w:ascii="Times New Roman" w:hAnsi="Times New Roman" w:cs="Times New Roman"/>
          <w:color w:val="auto"/>
          <w:sz w:val="24"/>
          <w:lang w:val="en-US" w:eastAsia="zh-CN"/>
        </w:rPr>
      </w:pPr>
    </w:p>
    <w:p w14:paraId="58845FB5">
      <w:pPr>
        <w:rPr>
          <w:rFonts w:hint="default" w:ascii="Times New Roman" w:hAnsi="Times New Roman" w:cs="Times New Roman"/>
          <w:color w:val="auto"/>
          <w:sz w:val="24"/>
          <w:lang w:val="en-US" w:eastAsia="zh-CN"/>
        </w:rPr>
      </w:pPr>
    </w:p>
    <w:p w14:paraId="43EC73EE">
      <w:pPr>
        <w:rPr>
          <w:rFonts w:hint="default" w:ascii="Times New Roman" w:hAnsi="Times New Roman" w:cs="Times New Roman"/>
          <w:color w:val="auto"/>
          <w:sz w:val="24"/>
          <w:lang w:val="en-US" w:eastAsia="zh-CN"/>
        </w:rPr>
      </w:pPr>
    </w:p>
    <w:p w14:paraId="290B35EA">
      <w:pPr>
        <m:rPr/>
        <w:rPr>
          <w:rFonts w:hint="default" w:ascii="Times New Roman" w:hAnsi="Times New Roman" w:cs="Times New Roman"/>
          <w:color w:val="auto"/>
          <w:sz w:val="24"/>
          <w:lang w:val="en-US" w:eastAsia="zh-CN"/>
        </w:rPr>
      </w:pP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mbria Math">
    <w:panose1 w:val="02040503050406030204"/>
    <w:charset w:val="00"/>
    <w:family w:val="auto"/>
    <w:pitch w:val="default"/>
    <w:sig w:usb0="E00006FF" w:usb1="420024FF" w:usb2="02000000" w:usb3="00000000" w:csb0="2000019F" w:csb1="00000000"/>
  </w:font>
  <w:font w:name="MS Mincho">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55F39A"/>
    <w:multiLevelType w:val="multilevel"/>
    <w:tmpl w:val="A455F39A"/>
    <w:lvl w:ilvl="0" w:tentative="0">
      <w:start w:val="1"/>
      <w:numFmt w:val="decimal"/>
      <w:pStyle w:val="2"/>
      <w:suff w:val="space"/>
      <w:lvlText w:val="%1"/>
      <w:lvlJc w:val="left"/>
      <w:pPr>
        <w:ind w:left="0" w:leftChars="0" w:firstLine="0" w:firstLineChars="0"/>
      </w:pPr>
      <w:rPr>
        <w:rFonts w:hint="default"/>
      </w:rPr>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1">
    <w:nsid w:val="B512E78E"/>
    <w:multiLevelType w:val="multilevel"/>
    <w:tmpl w:val="B512E78E"/>
    <w:lvl w:ilvl="0" w:tentative="0">
      <w:start w:val="1"/>
      <w:numFmt w:val="decimal"/>
      <w:pStyle w:val="4"/>
      <w:suff w:val="space"/>
      <w:lvlText w:val="%1"/>
      <w:lvlJc w:val="left"/>
      <w:pPr>
        <w:tabs>
          <w:tab w:val="left" w:pos="0"/>
        </w:tabs>
        <w:ind w:left="0" w:leftChars="0" w:firstLine="0" w:firstLineChars="0"/>
      </w:pPr>
      <w:rPr>
        <w:rFonts w:hint="default"/>
      </w:rPr>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2">
    <w:nsid w:val="FB4F3D3B"/>
    <w:multiLevelType w:val="multilevel"/>
    <w:tmpl w:val="FB4F3D3B"/>
    <w:lvl w:ilvl="0" w:tentative="0">
      <w:start w:val="1"/>
      <w:numFmt w:val="decimal"/>
      <w:pStyle w:val="3"/>
      <w:suff w:val="space"/>
      <w:lvlText w:val="%1"/>
      <w:lvlJc w:val="left"/>
      <w:pPr>
        <w:tabs>
          <w:tab w:val="left" w:pos="0"/>
        </w:tabs>
        <w:ind w:left="0" w:leftChars="0" w:firstLine="0" w:firstLineChars="0"/>
      </w:pPr>
      <w:rPr>
        <w:rFonts w:hint="default"/>
      </w:rPr>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6620FD"/>
    <w:rsid w:val="173776A1"/>
    <w:rsid w:val="1C684366"/>
    <w:rsid w:val="1E6615A9"/>
    <w:rsid w:val="200A645D"/>
    <w:rsid w:val="2CE3381C"/>
    <w:rsid w:val="3EDA442A"/>
    <w:rsid w:val="3F185429"/>
    <w:rsid w:val="4182569C"/>
    <w:rsid w:val="51114222"/>
    <w:rsid w:val="51645E4C"/>
    <w:rsid w:val="5A386DE8"/>
    <w:rsid w:val="5DF64FF0"/>
    <w:rsid w:val="5EE60A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numPr>
        <w:ilvl w:val="0"/>
        <w:numId w:val="1"/>
      </w:numPr>
      <w:spacing w:beforeAutospacing="0" w:afterAutospacing="0" w:line="360" w:lineRule="auto"/>
      <w:ind w:firstLine="420" w:firstLineChars="200"/>
      <w:jc w:val="left"/>
      <w:outlineLvl w:val="0"/>
    </w:pPr>
    <w:rPr>
      <w:rFonts w:hint="eastAsia" w:ascii="Times New Roman" w:hAnsi="Times New Roman" w:eastAsia="宋体" w:cs="Times New Roman"/>
      <w:kern w:val="44"/>
      <w:szCs w:val="21"/>
    </w:rPr>
  </w:style>
  <w:style w:type="paragraph" w:styleId="3">
    <w:name w:val="heading 2"/>
    <w:basedOn w:val="1"/>
    <w:next w:val="1"/>
    <w:semiHidden/>
    <w:unhideWhenUsed/>
    <w:qFormat/>
    <w:uiPriority w:val="0"/>
    <w:pPr>
      <w:keepNext/>
      <w:keepLines/>
      <w:numPr>
        <w:ilvl w:val="0"/>
        <w:numId w:val="2"/>
      </w:numPr>
      <w:spacing w:line="360" w:lineRule="auto"/>
      <w:ind w:firstLine="420" w:firstLineChars="200"/>
      <w:outlineLvl w:val="1"/>
    </w:pPr>
    <w:rPr>
      <w:rFonts w:ascii="Times New Roman" w:hAnsi="Times New Roman" w:eastAsia="宋体" w:cstheme="majorBidi"/>
      <w:bCs/>
      <w:szCs w:val="32"/>
    </w:rPr>
  </w:style>
  <w:style w:type="paragraph" w:styleId="4">
    <w:name w:val="heading 4"/>
    <w:basedOn w:val="1"/>
    <w:next w:val="1"/>
    <w:semiHidden/>
    <w:unhideWhenUsed/>
    <w:qFormat/>
    <w:uiPriority w:val="0"/>
    <w:pPr>
      <w:keepNext/>
      <w:keepLines/>
      <w:numPr>
        <w:ilvl w:val="0"/>
        <w:numId w:val="3"/>
      </w:numPr>
      <w:spacing w:before="50" w:beforeLines="50" w:beforeAutospacing="0" w:after="50" w:afterLines="50" w:afterAutospacing="0" w:line="240" w:lineRule="auto"/>
      <w:jc w:val="center"/>
      <w:outlineLvl w:val="3"/>
    </w:pPr>
    <w:rPr>
      <w:rFonts w:ascii="Times New Roman" w:hAnsi="Times New Roman" w:eastAsia="黑体"/>
      <w:sz w:val="24"/>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5">
    <w:name w:val="footnote text"/>
    <w:basedOn w:val="1"/>
    <w:qFormat/>
    <w:uiPriority w:val="0"/>
    <w:pPr>
      <w:snapToGrid w:val="0"/>
      <w:jc w:val="left"/>
    </w:pPr>
    <w:rPr>
      <w:sz w:val="18"/>
    </w:rPr>
  </w:style>
  <w:style w:type="character" w:styleId="8">
    <w:name w:val="footnote reference"/>
    <w:basedOn w:val="7"/>
    <w:qFormat/>
    <w:uiPriority w:val="0"/>
    <w:rPr>
      <w:vertAlign w:val="superscript"/>
    </w:rPr>
  </w:style>
  <w:style w:type="character" w:customStyle="1" w:styleId="9">
    <w:name w:val="font11"/>
    <w:basedOn w:val="7"/>
    <w:qFormat/>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6</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2025-12-29T03:15:00Z</dcterms:created>
  <dc:creator>17622</dc:creator>
  <cp:lastModifiedBy>Breeze</cp:lastModifiedBy>
  <dcterms:modified xsi:type="dcterms:W3CDTF">2026-03-02T06:02:10Z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77DA66DD63484E7E916A5C0A0753915C_12</vt:lpwstr>
  </property>
  <property fmtid="{D5CDD505-2E9C-101B-9397-08002B2CF9AE}" pid="4" name="KSOTemplateDocerSaveRecord">
    <vt:lpwstr>eyJoZGlkIjoiOWQ3OTU1NjUxYjFlNWYwMzU1MDAyZjY1Y2Y0MzEzNWUiLCJ1c2VySWQiOiI0NTEwMDE1MDUifQ==</vt:lpwstr>
  </property>
</Properties>
</file>