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8D483" w14:textId="77777777" w:rsidR="00492E75" w:rsidRDefault="00000000">
      <w:pPr>
        <w:pStyle w:val="a6"/>
        <w:keepNext/>
        <w:ind w:firstLine="420"/>
      </w:pPr>
      <w:bookmarkStart w:id="0" w:name="二级标题序号_11"/>
      <w:bookmarkStart w:id="1" w:name="二级标题_14"/>
      <w:r>
        <w:rPr>
          <w:rFonts w:cs="宋体" w:hint="eastAsia"/>
        </w:rPr>
        <w:t>（三）</w:t>
      </w:r>
      <w:bookmarkEnd w:id="0"/>
      <w:r>
        <w:rPr>
          <w:rFonts w:cs="宋体" w:hint="eastAsia"/>
        </w:rPr>
        <w:t>稳健性检验</w:t>
      </w:r>
      <w:bookmarkEnd w:id="1"/>
    </w:p>
    <w:p w14:paraId="228D84AD" w14:textId="77777777" w:rsidR="00492E75" w:rsidRDefault="00000000">
      <w:pPr>
        <w:pStyle w:val="a7"/>
        <w:widowControl/>
        <w:ind w:firstLine="420"/>
      </w:pPr>
      <w:bookmarkStart w:id="2" w:name="正文段落_70"/>
      <w:r>
        <w:t>1.</w:t>
      </w:r>
      <w:r>
        <w:rPr>
          <w:rFonts w:cs="宋体" w:hint="eastAsia"/>
        </w:rPr>
        <w:t>安慰剂检验。</w:t>
      </w:r>
      <w:bookmarkEnd w:id="2"/>
    </w:p>
    <w:p w14:paraId="2A27A795" w14:textId="77777777" w:rsidR="00492E75" w:rsidRDefault="00000000">
      <w:pPr>
        <w:pStyle w:val="a4"/>
        <w:keepNext/>
        <w:ind w:firstLine="420"/>
      </w:pPr>
      <w:bookmarkStart w:id="3" w:name="三级标题序号_12"/>
      <w:bookmarkStart w:id="4" w:name="三级标题_2"/>
      <w:r>
        <w:rPr>
          <w:rStyle w:val="a9"/>
          <w:rFonts w:cs="宋体" w:hint="eastAsia"/>
          <w:szCs w:val="20"/>
        </w:rPr>
        <w:t>（</w:t>
      </w:r>
      <w:r>
        <w:rPr>
          <w:rStyle w:val="a9"/>
          <w:szCs w:val="20"/>
        </w:rPr>
        <w:t>1</w:t>
      </w:r>
      <w:r>
        <w:rPr>
          <w:rStyle w:val="a9"/>
          <w:rFonts w:cs="宋体" w:hint="eastAsia"/>
          <w:szCs w:val="20"/>
        </w:rPr>
        <w:t>）</w:t>
      </w:r>
      <w:bookmarkEnd w:id="3"/>
      <w:r>
        <w:rPr>
          <w:rFonts w:cs="宋体" w:hint="eastAsia"/>
        </w:rPr>
        <w:t>虚假时间的安慰剂检验</w:t>
      </w:r>
      <w:bookmarkEnd w:id="4"/>
    </w:p>
    <w:p w14:paraId="4E54C496" w14:textId="77777777" w:rsidR="00492E75" w:rsidRDefault="00000000">
      <w:pPr>
        <w:pStyle w:val="a7"/>
        <w:widowControl/>
        <w:ind w:firstLine="420"/>
      </w:pPr>
      <w:bookmarkStart w:id="5" w:name="正文段落_72"/>
      <w:r>
        <w:rPr>
          <w:rFonts w:cs="宋体" w:hint="eastAsia"/>
        </w:rPr>
        <w:t>参照王锋和葛星（</w:t>
      </w:r>
      <w:r>
        <w:t>2022</w:t>
      </w:r>
      <w:r>
        <w:rPr>
          <w:rFonts w:cs="宋体" w:hint="eastAsia"/>
        </w:rPr>
        <w:t>）的研究方法，为避免处理组和对照组城市的农业转移人口市民化意愿差异受到时间变化的影响，将外卖配送站点的实际进驻时间提前</w:t>
      </w:r>
      <w:r>
        <w:t>3</w:t>
      </w:r>
      <w:r>
        <w:rPr>
          <w:rFonts w:cs="宋体" w:hint="eastAsia"/>
        </w:rPr>
        <w:t>年，构建了虚假的政策冲击时点。通过对式（</w:t>
      </w:r>
      <w:r>
        <w:t>1</w:t>
      </w:r>
      <w:r>
        <w:rPr>
          <w:rFonts w:cs="宋体" w:hint="eastAsia"/>
        </w:rPr>
        <w:t>）的重新估计，结果如表</w:t>
      </w:r>
      <w:r>
        <w:t>3</w:t>
      </w:r>
      <w:r>
        <w:rPr>
          <w:rFonts w:cs="宋体" w:hint="eastAsia"/>
        </w:rPr>
        <w:t>列（</w:t>
      </w:r>
      <w:r>
        <w:t>1</w:t>
      </w:r>
      <w:r>
        <w:rPr>
          <w:rFonts w:cs="宋体" w:hint="eastAsia"/>
        </w:rPr>
        <w:t>）所示，虚拟的冲击变量的系数估计在</w:t>
      </w:r>
      <w:r>
        <w:t>10%</w:t>
      </w:r>
      <w:r>
        <w:rPr>
          <w:rFonts w:cs="宋体" w:hint="eastAsia"/>
        </w:rPr>
        <w:t>的显著性水平下未能通过显著性检验。这表明，处理组和对照组城市之间的时间趋势差异不具有统计显著性，进一步证实了外卖行业的进驻对农业转移人口市民化意愿的促进作用，并排除了由于时间变化带来的系统性偏差。</w:t>
      </w:r>
      <w:bookmarkEnd w:id="5"/>
    </w:p>
    <w:p w14:paraId="250696F2" w14:textId="77777777" w:rsidR="00492E75" w:rsidRDefault="00000000">
      <w:pPr>
        <w:pStyle w:val="a4"/>
        <w:keepNext/>
        <w:ind w:firstLine="420"/>
      </w:pPr>
      <w:bookmarkStart w:id="6" w:name="三级标题序号_13"/>
      <w:bookmarkStart w:id="7" w:name="三级标题_4"/>
      <w:r>
        <w:rPr>
          <w:rStyle w:val="a9"/>
          <w:rFonts w:cs="宋体" w:hint="eastAsia"/>
          <w:szCs w:val="20"/>
        </w:rPr>
        <w:t>（</w:t>
      </w:r>
      <w:r>
        <w:rPr>
          <w:rStyle w:val="a9"/>
          <w:szCs w:val="20"/>
        </w:rPr>
        <w:t>2</w:t>
      </w:r>
      <w:r>
        <w:rPr>
          <w:rStyle w:val="a9"/>
          <w:rFonts w:cs="宋体" w:hint="eastAsia"/>
          <w:szCs w:val="20"/>
        </w:rPr>
        <w:t>）</w:t>
      </w:r>
      <w:bookmarkEnd w:id="6"/>
      <w:r>
        <w:rPr>
          <w:rFonts w:cs="宋体" w:hint="eastAsia"/>
        </w:rPr>
        <w:t>虚假变量的安慰剂检验</w:t>
      </w:r>
      <w:bookmarkEnd w:id="7"/>
    </w:p>
    <w:p w14:paraId="08D97D56" w14:textId="77777777" w:rsidR="00492E75" w:rsidRDefault="00000000">
      <w:pPr>
        <w:pStyle w:val="a7"/>
        <w:widowControl/>
        <w:ind w:firstLine="420"/>
      </w:pPr>
      <w:bookmarkStart w:id="8" w:name="正文段落_74"/>
      <w:r>
        <w:rPr>
          <w:rFonts w:cs="宋体" w:hint="eastAsia"/>
        </w:rPr>
        <w:t>为了排除外卖平台对农业转移人口市民化意愿影响的偶然性并确保其结果不受其他随机因素的干扰，沿用已有研究的通常做法（焦豪等，</w:t>
      </w:r>
      <w:r>
        <w:t>2023</w:t>
      </w:r>
      <w:r>
        <w:rPr>
          <w:rFonts w:cs="宋体" w:hint="eastAsia"/>
        </w:rPr>
        <w:t>），进一步构建虚假变量进行安慰剂检验。将外卖配送站点变量与</w:t>
      </w:r>
      <w:r>
        <w:t>276</w:t>
      </w:r>
      <w:r>
        <w:rPr>
          <w:rFonts w:cs="宋体" w:hint="eastAsia"/>
        </w:rPr>
        <w:t>个城市随机匹配，进行</w:t>
      </w:r>
      <w:r>
        <w:t>1000</w:t>
      </w:r>
      <w:r>
        <w:rPr>
          <w:rFonts w:cs="宋体" w:hint="eastAsia"/>
        </w:rPr>
        <w:t>次随机抽样，以构建“伪事件虚拟变量”，并根据式（</w:t>
      </w:r>
      <w:r>
        <w:t>1</w:t>
      </w:r>
      <w:r>
        <w:rPr>
          <w:rFonts w:cs="宋体" w:hint="eastAsia"/>
        </w:rPr>
        <w:t>）重新进行回归估计，</w:t>
      </w:r>
      <w:r>
        <w:t>1000</w:t>
      </w:r>
      <w:r>
        <w:rPr>
          <w:rFonts w:cs="宋体" w:hint="eastAsia"/>
        </w:rPr>
        <w:t>次伪回归结果的系数及其</w:t>
      </w:r>
      <w:r>
        <w:t>P</w:t>
      </w:r>
      <w:r>
        <w:rPr>
          <w:rFonts w:cs="宋体" w:hint="eastAsia"/>
        </w:rPr>
        <w:t>值分布结果如图</w:t>
      </w:r>
      <w:r>
        <w:t>6</w:t>
      </w:r>
      <w:r>
        <w:rPr>
          <w:rFonts w:cs="宋体" w:hint="eastAsia"/>
        </w:rPr>
        <w:t>所示。可以明显看出，</w:t>
      </w:r>
      <w:r>
        <w:t>1000</w:t>
      </w:r>
      <w:r>
        <w:rPr>
          <w:rFonts w:cs="宋体" w:hint="eastAsia"/>
        </w:rPr>
        <w:t>次随机估计的系数为近似正态分布，且均值接近零，与基准回归结果中外卖平台进驻的真实回归系数显著不同，安慰剂检验中的虚假系数分布明显偏离了基准回归中的真实系数，因此可以认为外卖平台的进驻对城市中农业转移人口市民化意愿的提升具有显著的因果影响，遗漏变量引发偏误的可能性较小。</w:t>
      </w:r>
      <w:bookmarkEnd w:id="8"/>
    </w:p>
    <w:p w14:paraId="1AAA014B" w14:textId="77777777" w:rsidR="00492E75" w:rsidRDefault="00000000">
      <w:pPr>
        <w:pStyle w:val="a5"/>
      </w:pPr>
      <w:r>
        <w:rPr>
          <w:noProof/>
        </w:rPr>
        <w:drawing>
          <wp:inline distT="0" distB="0" distL="114300" distR="114300" wp14:anchorId="19A63D52" wp14:editId="198B2F42">
            <wp:extent cx="3670300" cy="22034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670300" cy="2203450"/>
                    </a:xfrm>
                    <a:prstGeom prst="rect">
                      <a:avLst/>
                    </a:prstGeom>
                    <a:noFill/>
                    <a:ln>
                      <a:noFill/>
                    </a:ln>
                  </pic:spPr>
                </pic:pic>
              </a:graphicData>
            </a:graphic>
          </wp:inline>
        </w:drawing>
      </w:r>
    </w:p>
    <w:p w14:paraId="070064CE" w14:textId="77777777" w:rsidR="00492E75" w:rsidRDefault="00000000">
      <w:pPr>
        <w:pStyle w:val="ab"/>
      </w:pPr>
      <w:bookmarkStart w:id="9" w:name="中文图序_5"/>
      <w:bookmarkStart w:id="10" w:name="中文图题_5"/>
      <w:r>
        <w:rPr>
          <w:rFonts w:cs="黑体" w:hint="eastAsia"/>
        </w:rPr>
        <w:t>图</w:t>
      </w:r>
      <w:r>
        <w:t>6</w:t>
      </w:r>
      <w:bookmarkEnd w:id="9"/>
      <w:r>
        <w:t xml:space="preserve">  </w:t>
      </w:r>
      <w:r>
        <w:rPr>
          <w:rFonts w:cs="黑体" w:hint="eastAsia"/>
        </w:rPr>
        <w:t>安慰剂检验</w:t>
      </w:r>
      <w:bookmarkEnd w:id="10"/>
    </w:p>
    <w:p w14:paraId="3527DC0C" w14:textId="77777777" w:rsidR="00492E75" w:rsidRDefault="00000000">
      <w:pPr>
        <w:pStyle w:val="a7"/>
        <w:widowControl/>
        <w:ind w:firstLine="420"/>
      </w:pPr>
      <w:bookmarkStart w:id="11" w:name="正文段落_76"/>
      <w:r>
        <w:t>2.PSM-DID</w:t>
      </w:r>
      <w:r>
        <w:rPr>
          <w:rFonts w:cs="宋体" w:hint="eastAsia"/>
        </w:rPr>
        <w:t>。尽管双重差分法在一定程度上减弱了内生性中的遗漏变量问题，可估计出外卖配送站点进驻对农业转移人口市民化意愿影响的平均处理效应，但由于控制组和对照组的选择并非完全随机，因此可能存在样本选择偏误。基于此，使用倾向得分匹配叠加双重差分法（</w:t>
      </w:r>
      <w:r>
        <w:t>PSM-DID</w:t>
      </w:r>
      <w:r>
        <w:rPr>
          <w:rFonts w:cs="宋体" w:hint="eastAsia"/>
        </w:rPr>
        <w:t>）进行稳健性检验。在</w:t>
      </w:r>
      <w:r>
        <w:t>PSM-DID</w:t>
      </w:r>
      <w:r>
        <w:rPr>
          <w:rFonts w:cs="宋体" w:hint="eastAsia"/>
        </w:rPr>
        <w:t>基准回归中，将原有的个人控制特征控制变量和地区特征控制变量作为协变量，使用以</w:t>
      </w:r>
      <w:r>
        <w:t>0.05</w:t>
      </w:r>
      <w:r>
        <w:rPr>
          <w:rFonts w:cs="宋体" w:hint="eastAsia"/>
        </w:rPr>
        <w:t>为卡尺范围的</w:t>
      </w:r>
      <w:r>
        <w:t>1:1</w:t>
      </w:r>
      <w:r>
        <w:rPr>
          <w:rFonts w:cs="宋体" w:hint="eastAsia"/>
        </w:rPr>
        <w:t>近邻匹配方法进行倾向得分匹配。根据表</w:t>
      </w:r>
      <w:r>
        <w:t>3</w:t>
      </w:r>
      <w:r>
        <w:rPr>
          <w:rFonts w:cs="宋体" w:hint="eastAsia"/>
        </w:rPr>
        <w:t>列（</w:t>
      </w:r>
      <w:r>
        <w:t>2</w:t>
      </w:r>
      <w:r>
        <w:rPr>
          <w:rFonts w:cs="宋体" w:hint="eastAsia"/>
        </w:rPr>
        <w:t>）结果显示，使用</w:t>
      </w:r>
      <w:r>
        <w:t>PSM-DID</w:t>
      </w:r>
      <w:r>
        <w:rPr>
          <w:rFonts w:cs="宋体" w:hint="eastAsia"/>
        </w:rPr>
        <w:t>后，回归结果在</w:t>
      </w:r>
      <w:r>
        <w:t>1%</w:t>
      </w:r>
      <w:r>
        <w:rPr>
          <w:rFonts w:cs="宋体" w:hint="eastAsia"/>
        </w:rPr>
        <w:t>的水平下显著为正，外卖配送站点进驻城市会使农业转移人口市民化意愿上升约</w:t>
      </w:r>
      <w:r>
        <w:t>3.</w:t>
      </w:r>
      <w:r>
        <w:rPr>
          <w:rFonts w:hint="eastAsia"/>
        </w:rPr>
        <w:t>61</w:t>
      </w:r>
      <w:r>
        <w:t>%</w:t>
      </w:r>
      <w:r>
        <w:rPr>
          <w:rFonts w:cs="宋体" w:hint="eastAsia"/>
        </w:rPr>
        <w:t>，进一步说明了基准回归结果的稳健性。</w:t>
      </w:r>
      <w:bookmarkEnd w:id="11"/>
    </w:p>
    <w:p w14:paraId="55318E73" w14:textId="77777777" w:rsidR="00492E75" w:rsidRDefault="00000000">
      <w:pPr>
        <w:pStyle w:val="a7"/>
        <w:widowControl/>
        <w:ind w:firstLine="420"/>
      </w:pPr>
      <w:bookmarkStart w:id="12" w:name="正文段落_78"/>
      <w:r>
        <w:t>3.</w:t>
      </w:r>
      <w:r>
        <w:rPr>
          <w:rFonts w:cs="宋体" w:hint="eastAsia"/>
        </w:rPr>
        <w:t>调整样本范围。在数字经济新业态发展的初期阶段，外卖平台的补贴与市场推广主要集中在人口密集且经济较为发达的城市地区，外卖平台在偏远地区的发展一般比较落后，头部城市和尾部城市之间的差距过大，可能会形成极端值。为避免此类因素带来的估计偏差，本文将</w:t>
      </w:r>
      <w:r>
        <w:rPr>
          <w:rFonts w:cs="宋体" w:hint="eastAsia"/>
        </w:rPr>
        <w:lastRenderedPageBreak/>
        <w:t>四个直辖市和新疆、西藏地区的样本以及广州和深圳两个一线城市的样本剔除，重新利用式（</w:t>
      </w:r>
      <w:r>
        <w:t>1</w:t>
      </w:r>
      <w:r>
        <w:rPr>
          <w:rFonts w:cs="宋体" w:hint="eastAsia"/>
        </w:rPr>
        <w:t>）进行回归，结果如表</w:t>
      </w:r>
      <w:r>
        <w:t>3</w:t>
      </w:r>
      <w:r>
        <w:rPr>
          <w:rFonts w:cs="宋体" w:hint="eastAsia"/>
        </w:rPr>
        <w:t>列（</w:t>
      </w:r>
      <w:r>
        <w:t>3</w:t>
      </w:r>
      <w:r>
        <w:rPr>
          <w:rFonts w:cs="宋体" w:hint="eastAsia"/>
        </w:rPr>
        <w:t>）所示，估计系数通过了</w:t>
      </w:r>
      <w:r>
        <w:t>1%</w:t>
      </w:r>
      <w:r>
        <w:rPr>
          <w:rFonts w:cs="宋体" w:hint="eastAsia"/>
        </w:rPr>
        <w:t>水平的统计性检验且为正值，外卖配送站点进驻城市会使农业转移人口市民化意愿上升约</w:t>
      </w:r>
      <w:r>
        <w:t>3.90%</w:t>
      </w:r>
      <w:r>
        <w:rPr>
          <w:rFonts w:cs="宋体" w:hint="eastAsia"/>
        </w:rPr>
        <w:t>，与基准回归结论基本一致，表明结果稳健。此外，</w:t>
      </w:r>
      <w:r>
        <w:rPr>
          <w:i/>
          <w:iCs/>
        </w:rPr>
        <w:t>CMDS</w:t>
      </w:r>
      <w:r>
        <w:rPr>
          <w:rFonts w:cs="宋体" w:hint="eastAsia"/>
        </w:rPr>
        <w:t>调查问卷中针对农业转移人口流动原因进行了详细划分，务工经商、随同流动、婚嫁、拆迁、投亲、学习、参军、出生以及其它，为验证主结论对不同流动类型的稳健性，进一步排除“务工经商”群体，仅保留因婚姻、家庭、学习、养老等其他原因流动的人口进行回归。表</w:t>
      </w:r>
      <w:r>
        <w:t>3</w:t>
      </w:r>
      <w:r>
        <w:rPr>
          <w:rFonts w:cs="宋体" w:hint="eastAsia"/>
        </w:rPr>
        <w:t>列（</w:t>
      </w:r>
      <w:r>
        <w:t>4</w:t>
      </w:r>
      <w:r>
        <w:rPr>
          <w:rFonts w:cs="宋体" w:hint="eastAsia"/>
        </w:rPr>
        <w:t>）结果显示，外卖等新业态的进入对该子样本的居留意愿依然具有显著正向影响，本文识别的机制不仅适用于因就业驱动的流动群体，对其他类型的农业转移人口也具有解释力，证明了结论的稳健性与外部适用性。</w:t>
      </w:r>
      <w:bookmarkEnd w:id="12"/>
    </w:p>
    <w:p w14:paraId="6932C6AA" w14:textId="77777777" w:rsidR="00492E75" w:rsidRDefault="00000000">
      <w:pPr>
        <w:pStyle w:val="a7"/>
        <w:widowControl/>
        <w:ind w:firstLine="420"/>
      </w:pPr>
      <w:bookmarkStart w:id="13" w:name="正文段落_80"/>
      <w:r>
        <w:t>4.</w:t>
      </w:r>
      <w:r>
        <w:rPr>
          <w:rFonts w:cs="宋体" w:hint="eastAsia"/>
        </w:rPr>
        <w:t>排除政策干扰。一方面，外卖行业的发展往往会受到多种政策的影响，在</w:t>
      </w:r>
      <w:r>
        <w:t>2012~2018</w:t>
      </w:r>
      <w:r>
        <w:rPr>
          <w:rFonts w:cs="宋体" w:hint="eastAsia"/>
        </w:rPr>
        <w:t>年的窗口期内，国家实施了一系列政策对外卖行业进行合理管控，本文特别关注了两个可能影响外卖平台发展的政策：第一，</w:t>
      </w:r>
      <w:r>
        <w:t>2015</w:t>
      </w:r>
      <w:r>
        <w:rPr>
          <w:rFonts w:cs="宋体" w:hint="eastAsia"/>
        </w:rPr>
        <w:t>年</w:t>
      </w:r>
      <w:r>
        <w:t>10</w:t>
      </w:r>
      <w:r>
        <w:rPr>
          <w:rFonts w:cs="宋体" w:hint="eastAsia"/>
        </w:rPr>
        <w:t>月国家出台“史上最严的食品安全法”，其中提到网络食品第三方平台应对入网食品经营者持监管责任；第二，</w:t>
      </w:r>
      <w:r>
        <w:t>2018</w:t>
      </w:r>
      <w:r>
        <w:rPr>
          <w:rFonts w:cs="宋体" w:hint="eastAsia"/>
        </w:rPr>
        <w:t>年</w:t>
      </w:r>
      <w:r>
        <w:t>1</w:t>
      </w:r>
      <w:r>
        <w:rPr>
          <w:rFonts w:cs="宋体" w:hint="eastAsia"/>
        </w:rPr>
        <w:t>月</w:t>
      </w:r>
      <w:r>
        <w:t>1</w:t>
      </w:r>
      <w:r>
        <w:rPr>
          <w:rFonts w:cs="宋体" w:hint="eastAsia"/>
        </w:rPr>
        <w:t>日，中国施行专门管控网络食品行业的《网络餐饮服务食品安全监督管理办法》，为了排除上述政策的影响，分别将基准回归的时间周期调整为</w:t>
      </w:r>
      <w:r>
        <w:t>2012~2015</w:t>
      </w:r>
      <w:r>
        <w:rPr>
          <w:rFonts w:cs="宋体" w:hint="eastAsia"/>
        </w:rPr>
        <w:t>年和</w:t>
      </w:r>
      <w:r>
        <w:t>2012~2017</w:t>
      </w:r>
      <w:r>
        <w:rPr>
          <w:rFonts w:cs="宋体" w:hint="eastAsia"/>
        </w:rPr>
        <w:t>年，分别进行检验，回归结果如表</w:t>
      </w:r>
      <w:r>
        <w:t>3</w:t>
      </w:r>
      <w:r>
        <w:rPr>
          <w:rFonts w:cs="宋体" w:hint="eastAsia"/>
        </w:rPr>
        <w:t>的（</w:t>
      </w:r>
      <w:r>
        <w:t>5</w:t>
      </w:r>
      <w:r>
        <w:rPr>
          <w:rFonts w:cs="宋体" w:hint="eastAsia"/>
        </w:rPr>
        <w:t>）</w:t>
      </w:r>
      <w:r>
        <w:t>~</w:t>
      </w:r>
      <w:r>
        <w:rPr>
          <w:rFonts w:cs="宋体" w:hint="eastAsia"/>
        </w:rPr>
        <w:t>（</w:t>
      </w:r>
      <w:r>
        <w:t>6</w:t>
      </w:r>
      <w:r>
        <w:rPr>
          <w:rFonts w:cs="宋体" w:hint="eastAsia"/>
        </w:rPr>
        <w:t>）列所示。数字经济新业态系数均在</w:t>
      </w:r>
      <w:r>
        <w:t>1%</w:t>
      </w:r>
      <w:r>
        <w:rPr>
          <w:rFonts w:cs="宋体" w:hint="eastAsia"/>
        </w:rPr>
        <w:t>的水平下显著为正，本文核心结论仍然成立。另一方面，农业转移人口的市民化意愿也可能受到政策因素的显著影响。特别是在</w:t>
      </w:r>
      <w:r>
        <w:t>2014</w:t>
      </w:r>
      <w:r>
        <w:rPr>
          <w:rFonts w:cs="宋体" w:hint="eastAsia"/>
        </w:rPr>
        <w:t>年期间，《国务院关于进一步推进户籍制度改革的意见》以及《国务院办公厅关于进一步加强棚户区改造工作的通知》等关键政策相继出台，推动了户籍制度改革和棚户区改造进程，可能对农业转移人口的市民化意愿产生干预效应，进而影响估计结果。为更有效排除重大政策变动带来的干扰，进一步将分析时间窗口限定在</w:t>
      </w:r>
      <w:r>
        <w:t>2012~2014</w:t>
      </w:r>
      <w:r>
        <w:rPr>
          <w:rFonts w:cs="宋体" w:hint="eastAsia"/>
        </w:rPr>
        <w:t>年，以增强识别效度和估计结果的稳健性。表</w:t>
      </w:r>
      <w:r>
        <w:t>3</w:t>
      </w:r>
      <w:r>
        <w:rPr>
          <w:rFonts w:cs="宋体" w:hint="eastAsia"/>
        </w:rPr>
        <w:t>列（</w:t>
      </w:r>
      <w:r>
        <w:t>7</w:t>
      </w:r>
      <w:r>
        <w:rPr>
          <w:rFonts w:cs="宋体" w:hint="eastAsia"/>
        </w:rPr>
        <w:t>）显示，估计系数仍在</w:t>
      </w:r>
      <w:r>
        <w:t>1%</w:t>
      </w:r>
      <w:r>
        <w:rPr>
          <w:rFonts w:cs="宋体" w:hint="eastAsia"/>
        </w:rPr>
        <w:t>的水平下显著为正，基准回归结果依然稳健。</w:t>
      </w:r>
      <w:bookmarkEnd w:id="13"/>
    </w:p>
    <w:p w14:paraId="5BFC4F62" w14:textId="77777777" w:rsidR="00492E75" w:rsidRDefault="00000000">
      <w:pPr>
        <w:pStyle w:val="aa"/>
        <w:spacing w:before="156"/>
      </w:pPr>
      <w:bookmarkStart w:id="14" w:name="中文表序_3"/>
      <w:bookmarkStart w:id="15" w:name="中文表题_6"/>
      <w:r>
        <w:rPr>
          <w:rFonts w:cs="黑体" w:hint="eastAsia"/>
        </w:rPr>
        <w:t>表</w:t>
      </w:r>
      <w:r>
        <w:t>3</w:t>
      </w:r>
      <w:bookmarkEnd w:id="14"/>
      <w:r>
        <w:rPr>
          <w:rFonts w:cs="黑体" w:hint="eastAsia"/>
        </w:rPr>
        <w:t>稳健性检验</w:t>
      </w:r>
      <w:bookmarkEnd w:id="15"/>
    </w:p>
    <w:tbl>
      <w:tblPr>
        <w:tblW w:w="5000" w:type="pct"/>
        <w:jc w:val="center"/>
        <w:tblLook w:val="04A0" w:firstRow="1" w:lastRow="0" w:firstColumn="1" w:lastColumn="0" w:noHBand="0" w:noVBand="1"/>
      </w:tblPr>
      <w:tblGrid>
        <w:gridCol w:w="1672"/>
        <w:gridCol w:w="1057"/>
        <w:gridCol w:w="1084"/>
        <w:gridCol w:w="1010"/>
        <w:gridCol w:w="1002"/>
        <w:gridCol w:w="1010"/>
        <w:gridCol w:w="1010"/>
        <w:gridCol w:w="1011"/>
      </w:tblGrid>
      <w:tr w:rsidR="00492E75" w14:paraId="514EB0F9" w14:textId="77777777">
        <w:trPr>
          <w:trHeight w:hRule="exact" w:val="317"/>
          <w:jc w:val="center"/>
        </w:trPr>
        <w:tc>
          <w:tcPr>
            <w:tcW w:w="944" w:type="pct"/>
            <w:vMerge w:val="restart"/>
            <w:tcBorders>
              <w:top w:val="single" w:sz="8" w:space="0" w:color="000000"/>
              <w:left w:val="nil"/>
              <w:bottom w:val="single" w:sz="4" w:space="0" w:color="000000"/>
              <w:right w:val="single" w:sz="4" w:space="0" w:color="auto"/>
            </w:tcBorders>
            <w:vAlign w:val="center"/>
          </w:tcPr>
          <w:p w14:paraId="797E4474" w14:textId="77777777" w:rsidR="00492E75" w:rsidRDefault="00000000">
            <w:pPr>
              <w:spacing w:line="300" w:lineRule="exact"/>
              <w:jc w:val="center"/>
              <w:rPr>
                <w:rFonts w:ascii="Times New Roman" w:hAnsi="Times New Roman" w:cs="Times New Roman"/>
                <w:sz w:val="18"/>
                <w:szCs w:val="18"/>
              </w:rPr>
            </w:pPr>
            <w:bookmarkStart w:id="16" w:name="中文表注_4"/>
            <w:r>
              <w:rPr>
                <w:rStyle w:val="fontstyle01"/>
                <w:rFonts w:ascii="Times New Roman" w:hAnsi="Times New Roman" w:cs="Times New Roman" w:hint="default"/>
                <w:sz w:val="18"/>
                <w:szCs w:val="18"/>
                <w:lang w:bidi="ar"/>
              </w:rPr>
              <w:t>变量</w:t>
            </w:r>
          </w:p>
        </w:tc>
        <w:tc>
          <w:tcPr>
            <w:tcW w:w="4056" w:type="pct"/>
            <w:gridSpan w:val="7"/>
            <w:tcBorders>
              <w:top w:val="single" w:sz="8" w:space="0" w:color="000000"/>
              <w:left w:val="single" w:sz="4" w:space="0" w:color="auto"/>
              <w:bottom w:val="single" w:sz="4" w:space="0" w:color="000000"/>
              <w:right w:val="nil"/>
            </w:tcBorders>
            <w:vAlign w:val="center"/>
          </w:tcPr>
          <w:p w14:paraId="7C151EE2" w14:textId="77777777" w:rsidR="00492E75" w:rsidRDefault="00000000">
            <w:pPr>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被解释变量：市民化意愿</w:t>
            </w:r>
          </w:p>
        </w:tc>
      </w:tr>
      <w:tr w:rsidR="00492E75" w14:paraId="7E062EEA" w14:textId="77777777">
        <w:trPr>
          <w:trHeight w:hRule="exact" w:val="317"/>
          <w:jc w:val="center"/>
        </w:trPr>
        <w:tc>
          <w:tcPr>
            <w:tcW w:w="944" w:type="pct"/>
            <w:vMerge/>
            <w:tcBorders>
              <w:top w:val="single" w:sz="8" w:space="0" w:color="000000"/>
              <w:left w:val="nil"/>
              <w:bottom w:val="single" w:sz="4" w:space="0" w:color="000000"/>
              <w:right w:val="single" w:sz="4" w:space="0" w:color="auto"/>
            </w:tcBorders>
            <w:vAlign w:val="center"/>
          </w:tcPr>
          <w:p w14:paraId="52E81773" w14:textId="77777777" w:rsidR="00492E75" w:rsidRDefault="00492E75">
            <w:pPr>
              <w:rPr>
                <w:rFonts w:ascii="Times New Roman" w:hAnsi="Times New Roman" w:cs="Times New Roman"/>
                <w:sz w:val="20"/>
                <w:szCs w:val="20"/>
              </w:rPr>
            </w:pPr>
          </w:p>
        </w:tc>
        <w:tc>
          <w:tcPr>
            <w:tcW w:w="597" w:type="pct"/>
            <w:tcBorders>
              <w:top w:val="single" w:sz="4" w:space="0" w:color="000000"/>
              <w:left w:val="single" w:sz="4" w:space="0" w:color="000000"/>
              <w:bottom w:val="single" w:sz="4" w:space="0" w:color="000000"/>
              <w:right w:val="single" w:sz="4" w:space="0" w:color="000000"/>
            </w:tcBorders>
            <w:vAlign w:val="center"/>
          </w:tcPr>
          <w:p w14:paraId="2CD86C32"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虚假时间</w:t>
            </w:r>
          </w:p>
        </w:tc>
        <w:tc>
          <w:tcPr>
            <w:tcW w:w="612" w:type="pct"/>
            <w:tcBorders>
              <w:top w:val="single" w:sz="4" w:space="0" w:color="000000"/>
              <w:left w:val="single" w:sz="4" w:space="0" w:color="000000"/>
              <w:bottom w:val="single" w:sz="4" w:space="0" w:color="000000"/>
              <w:right w:val="single" w:sz="4" w:space="0" w:color="000000"/>
            </w:tcBorders>
            <w:vAlign w:val="center"/>
          </w:tcPr>
          <w:p w14:paraId="05BB96B4"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PSM-DID</w:t>
            </w:r>
          </w:p>
        </w:tc>
        <w:tc>
          <w:tcPr>
            <w:tcW w:w="1136" w:type="pct"/>
            <w:gridSpan w:val="2"/>
            <w:tcBorders>
              <w:top w:val="single" w:sz="4" w:space="0" w:color="000000"/>
              <w:left w:val="single" w:sz="4" w:space="0" w:color="000000"/>
              <w:bottom w:val="single" w:sz="4" w:space="0" w:color="000000"/>
              <w:right w:val="single" w:sz="4" w:space="0" w:color="000000"/>
            </w:tcBorders>
            <w:vAlign w:val="center"/>
          </w:tcPr>
          <w:p w14:paraId="08913762"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调整样本</w:t>
            </w:r>
          </w:p>
        </w:tc>
        <w:tc>
          <w:tcPr>
            <w:tcW w:w="1711" w:type="pct"/>
            <w:gridSpan w:val="3"/>
            <w:tcBorders>
              <w:top w:val="single" w:sz="4" w:space="0" w:color="000000"/>
              <w:left w:val="single" w:sz="4" w:space="0" w:color="000000"/>
              <w:bottom w:val="single" w:sz="4" w:space="0" w:color="000000"/>
              <w:right w:val="nil"/>
            </w:tcBorders>
            <w:vAlign w:val="center"/>
          </w:tcPr>
          <w:p w14:paraId="460662B9"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排除政策干扰</w:t>
            </w:r>
          </w:p>
        </w:tc>
      </w:tr>
      <w:tr w:rsidR="00492E75" w14:paraId="1F98402C" w14:textId="77777777">
        <w:trPr>
          <w:trHeight w:hRule="exact" w:val="317"/>
          <w:jc w:val="center"/>
        </w:trPr>
        <w:tc>
          <w:tcPr>
            <w:tcW w:w="944" w:type="pct"/>
            <w:vMerge/>
            <w:tcBorders>
              <w:top w:val="single" w:sz="8" w:space="0" w:color="000000"/>
              <w:left w:val="nil"/>
              <w:bottom w:val="single" w:sz="4" w:space="0" w:color="000000"/>
              <w:right w:val="single" w:sz="4" w:space="0" w:color="auto"/>
            </w:tcBorders>
            <w:vAlign w:val="center"/>
          </w:tcPr>
          <w:p w14:paraId="4E42D3CC" w14:textId="77777777" w:rsidR="00492E75" w:rsidRDefault="00492E75">
            <w:pPr>
              <w:rPr>
                <w:rFonts w:ascii="Times New Roman" w:hAnsi="Times New Roman" w:cs="Times New Roman"/>
                <w:sz w:val="20"/>
                <w:szCs w:val="20"/>
              </w:rPr>
            </w:pPr>
          </w:p>
        </w:tc>
        <w:tc>
          <w:tcPr>
            <w:tcW w:w="597" w:type="pct"/>
            <w:tcBorders>
              <w:top w:val="single" w:sz="4" w:space="0" w:color="000000"/>
              <w:left w:val="single" w:sz="4" w:space="0" w:color="000000"/>
              <w:bottom w:val="single" w:sz="4" w:space="0" w:color="000000"/>
              <w:right w:val="single" w:sz="4" w:space="0" w:color="000000"/>
            </w:tcBorders>
            <w:vAlign w:val="center"/>
          </w:tcPr>
          <w:p w14:paraId="74C41EA2" w14:textId="77777777" w:rsidR="00492E75" w:rsidRDefault="00000000">
            <w:pPr>
              <w:spacing w:line="300" w:lineRule="exact"/>
              <w:jc w:val="center"/>
              <w:rPr>
                <w:rFonts w:ascii="Times New Roman" w:hAnsi="Times New Roman" w:cs="Times New Roman"/>
                <w:i/>
                <w:iCs/>
                <w:sz w:val="18"/>
                <w:szCs w:val="18"/>
              </w:rPr>
            </w:pPr>
            <w:r>
              <w:rPr>
                <w:rStyle w:val="fontstyle01"/>
                <w:rFonts w:ascii="Times New Roman" w:hAnsi="Times New Roman" w:cs="Times New Roman" w:hint="default"/>
                <w:sz w:val="18"/>
                <w:szCs w:val="18"/>
                <w:lang w:bidi="ar"/>
              </w:rPr>
              <w:t>（</w:t>
            </w:r>
            <w:r>
              <w:rPr>
                <w:rStyle w:val="fontstyle01"/>
                <w:rFonts w:ascii="Times New Roman" w:hAnsi="Times New Roman" w:cs="Times New Roman" w:hint="default"/>
                <w:sz w:val="18"/>
                <w:szCs w:val="18"/>
                <w:lang w:bidi="ar"/>
              </w:rPr>
              <w:t>1</w:t>
            </w:r>
            <w:r>
              <w:rPr>
                <w:rStyle w:val="fontstyle01"/>
                <w:rFonts w:ascii="Times New Roman" w:hAnsi="Times New Roman" w:cs="Times New Roman" w:hint="default"/>
                <w:sz w:val="18"/>
                <w:szCs w:val="18"/>
                <w:lang w:bidi="ar"/>
              </w:rPr>
              <w:t>）</w:t>
            </w:r>
          </w:p>
        </w:tc>
        <w:tc>
          <w:tcPr>
            <w:tcW w:w="612" w:type="pct"/>
            <w:tcBorders>
              <w:top w:val="single" w:sz="4" w:space="0" w:color="000000"/>
              <w:left w:val="single" w:sz="4" w:space="0" w:color="000000"/>
              <w:bottom w:val="single" w:sz="4" w:space="0" w:color="000000"/>
              <w:right w:val="single" w:sz="4" w:space="0" w:color="000000"/>
            </w:tcBorders>
            <w:vAlign w:val="center"/>
          </w:tcPr>
          <w:p w14:paraId="22D831C7"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w:t>
            </w:r>
            <w:r>
              <w:rPr>
                <w:rStyle w:val="fontstyle01"/>
                <w:rFonts w:ascii="Times New Roman" w:hAnsi="Times New Roman" w:cs="Times New Roman" w:hint="default"/>
                <w:sz w:val="18"/>
                <w:szCs w:val="18"/>
                <w:lang w:bidi="ar"/>
              </w:rPr>
              <w:t>2</w:t>
            </w:r>
            <w:r>
              <w:rPr>
                <w:rStyle w:val="fontstyle01"/>
                <w:rFonts w:ascii="Times New Roman" w:hAnsi="Times New Roman" w:cs="Times New Roman" w:hint="default"/>
                <w:sz w:val="18"/>
                <w:szCs w:val="18"/>
                <w:lang w:bidi="ar"/>
              </w:rPr>
              <w:t>）</w:t>
            </w:r>
          </w:p>
        </w:tc>
        <w:tc>
          <w:tcPr>
            <w:tcW w:w="570" w:type="pct"/>
            <w:tcBorders>
              <w:top w:val="single" w:sz="4" w:space="0" w:color="000000"/>
              <w:left w:val="single" w:sz="4" w:space="0" w:color="000000"/>
              <w:bottom w:val="single" w:sz="4" w:space="0" w:color="000000"/>
              <w:right w:val="nil"/>
            </w:tcBorders>
            <w:vAlign w:val="center"/>
          </w:tcPr>
          <w:p w14:paraId="5AFA5BC2"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w:t>
            </w:r>
            <w:r>
              <w:rPr>
                <w:rStyle w:val="fontstyle01"/>
                <w:rFonts w:ascii="Times New Roman" w:hAnsi="Times New Roman" w:cs="Times New Roman" w:hint="default"/>
                <w:sz w:val="18"/>
                <w:szCs w:val="18"/>
                <w:lang w:bidi="ar"/>
              </w:rPr>
              <w:t>3</w:t>
            </w:r>
            <w:r>
              <w:rPr>
                <w:rStyle w:val="fontstyle01"/>
                <w:rFonts w:ascii="Times New Roman" w:hAnsi="Times New Roman" w:cs="Times New Roman" w:hint="default"/>
                <w:sz w:val="18"/>
                <w:szCs w:val="18"/>
                <w:lang w:bidi="ar"/>
              </w:rPr>
              <w:t>）</w:t>
            </w:r>
          </w:p>
        </w:tc>
        <w:tc>
          <w:tcPr>
            <w:tcW w:w="566" w:type="pct"/>
            <w:tcBorders>
              <w:top w:val="single" w:sz="4" w:space="0" w:color="000000"/>
              <w:left w:val="nil"/>
              <w:bottom w:val="single" w:sz="4" w:space="0" w:color="000000"/>
              <w:right w:val="nil"/>
            </w:tcBorders>
            <w:vAlign w:val="center"/>
          </w:tcPr>
          <w:p w14:paraId="519F11B8"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w:t>
            </w:r>
            <w:r>
              <w:rPr>
                <w:rStyle w:val="fontstyle01"/>
                <w:rFonts w:ascii="Times New Roman" w:hAnsi="Times New Roman" w:cs="Times New Roman" w:hint="default"/>
                <w:sz w:val="18"/>
                <w:szCs w:val="18"/>
                <w:lang w:bidi="ar"/>
              </w:rPr>
              <w:t>4</w:t>
            </w:r>
            <w:r>
              <w:rPr>
                <w:rStyle w:val="fontstyle01"/>
                <w:rFonts w:ascii="Times New Roman" w:hAnsi="Times New Roman" w:cs="Times New Roman" w:hint="default"/>
                <w:sz w:val="18"/>
                <w:szCs w:val="18"/>
                <w:lang w:bidi="ar"/>
              </w:rPr>
              <w:t>）</w:t>
            </w:r>
          </w:p>
        </w:tc>
        <w:tc>
          <w:tcPr>
            <w:tcW w:w="570" w:type="pct"/>
            <w:tcBorders>
              <w:top w:val="single" w:sz="4" w:space="0" w:color="000000"/>
              <w:left w:val="single" w:sz="4" w:space="0" w:color="000000"/>
              <w:bottom w:val="single" w:sz="4" w:space="0" w:color="000000"/>
              <w:right w:val="nil"/>
            </w:tcBorders>
            <w:vAlign w:val="center"/>
          </w:tcPr>
          <w:p w14:paraId="5E779D6D"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w:t>
            </w:r>
            <w:r>
              <w:rPr>
                <w:rStyle w:val="fontstyle01"/>
                <w:rFonts w:ascii="Times New Roman" w:hAnsi="Times New Roman" w:cs="Times New Roman" w:hint="default"/>
                <w:sz w:val="18"/>
                <w:szCs w:val="18"/>
                <w:lang w:bidi="ar"/>
              </w:rPr>
              <w:t>5</w:t>
            </w:r>
            <w:r>
              <w:rPr>
                <w:rStyle w:val="fontstyle01"/>
                <w:rFonts w:ascii="Times New Roman" w:hAnsi="Times New Roman" w:cs="Times New Roman" w:hint="default"/>
                <w:sz w:val="18"/>
                <w:szCs w:val="18"/>
                <w:lang w:bidi="ar"/>
              </w:rPr>
              <w:t>）</w:t>
            </w:r>
          </w:p>
        </w:tc>
        <w:tc>
          <w:tcPr>
            <w:tcW w:w="570" w:type="pct"/>
            <w:tcBorders>
              <w:top w:val="single" w:sz="4" w:space="0" w:color="000000"/>
              <w:left w:val="nil"/>
              <w:bottom w:val="single" w:sz="4" w:space="0" w:color="000000"/>
              <w:right w:val="nil"/>
            </w:tcBorders>
            <w:vAlign w:val="center"/>
          </w:tcPr>
          <w:p w14:paraId="2DDF59C8"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w:t>
            </w:r>
            <w:r>
              <w:rPr>
                <w:rStyle w:val="fontstyle01"/>
                <w:rFonts w:ascii="Times New Roman" w:hAnsi="Times New Roman" w:cs="Times New Roman" w:hint="default"/>
                <w:sz w:val="18"/>
                <w:szCs w:val="18"/>
                <w:lang w:bidi="ar"/>
              </w:rPr>
              <w:t>6</w:t>
            </w:r>
            <w:r>
              <w:rPr>
                <w:rStyle w:val="fontstyle01"/>
                <w:rFonts w:ascii="Times New Roman" w:hAnsi="Times New Roman" w:cs="Times New Roman" w:hint="default"/>
                <w:sz w:val="18"/>
                <w:szCs w:val="18"/>
                <w:lang w:bidi="ar"/>
              </w:rPr>
              <w:t>）</w:t>
            </w:r>
          </w:p>
        </w:tc>
        <w:tc>
          <w:tcPr>
            <w:tcW w:w="571" w:type="pct"/>
            <w:tcBorders>
              <w:top w:val="single" w:sz="4" w:space="0" w:color="000000"/>
              <w:left w:val="nil"/>
              <w:bottom w:val="single" w:sz="4" w:space="0" w:color="000000"/>
              <w:right w:val="nil"/>
            </w:tcBorders>
            <w:vAlign w:val="center"/>
          </w:tcPr>
          <w:p w14:paraId="6C8418CF" w14:textId="77777777" w:rsidR="00492E75" w:rsidRDefault="00000000">
            <w:pPr>
              <w:spacing w:line="300" w:lineRule="exact"/>
              <w:jc w:val="center"/>
              <w:rPr>
                <w:rFonts w:ascii="Times New Roman" w:hAnsi="Times New Roman" w:cs="Times New Roman"/>
              </w:rPr>
            </w:pPr>
            <w:r>
              <w:rPr>
                <w:rStyle w:val="fontstyle01"/>
                <w:rFonts w:ascii="Times New Roman" w:hAnsi="Times New Roman" w:cs="Times New Roman" w:hint="default"/>
                <w:sz w:val="18"/>
                <w:szCs w:val="18"/>
                <w:lang w:bidi="ar"/>
              </w:rPr>
              <w:t>（</w:t>
            </w:r>
            <w:r>
              <w:rPr>
                <w:rStyle w:val="fontstyle01"/>
                <w:rFonts w:ascii="Times New Roman" w:hAnsi="Times New Roman" w:cs="Times New Roman" w:hint="default"/>
                <w:sz w:val="18"/>
                <w:szCs w:val="18"/>
                <w:lang w:bidi="ar"/>
              </w:rPr>
              <w:t>7</w:t>
            </w:r>
            <w:r>
              <w:rPr>
                <w:rStyle w:val="fontstyle01"/>
                <w:rFonts w:ascii="Times New Roman" w:hAnsi="Times New Roman" w:cs="Times New Roman" w:hint="default"/>
                <w:sz w:val="18"/>
                <w:szCs w:val="18"/>
                <w:lang w:bidi="ar"/>
              </w:rPr>
              <w:t>）</w:t>
            </w:r>
          </w:p>
          <w:p w14:paraId="22B89E29" w14:textId="77777777" w:rsidR="00492E75" w:rsidRDefault="00492E75">
            <w:pPr>
              <w:spacing w:line="300" w:lineRule="exact"/>
              <w:jc w:val="center"/>
              <w:rPr>
                <w:rFonts w:ascii="Times New Roman" w:hAnsi="Times New Roman" w:cs="Times New Roman"/>
                <w:sz w:val="18"/>
                <w:szCs w:val="18"/>
              </w:rPr>
            </w:pPr>
          </w:p>
        </w:tc>
      </w:tr>
      <w:tr w:rsidR="00492E75" w14:paraId="796D5C78" w14:textId="77777777">
        <w:trPr>
          <w:trHeight w:hRule="exact" w:val="317"/>
          <w:jc w:val="center"/>
        </w:trPr>
        <w:tc>
          <w:tcPr>
            <w:tcW w:w="944" w:type="pct"/>
            <w:vMerge w:val="restart"/>
            <w:tcBorders>
              <w:top w:val="single" w:sz="4" w:space="0" w:color="000000"/>
              <w:left w:val="nil"/>
              <w:bottom w:val="nil"/>
              <w:right w:val="single" w:sz="4" w:space="0" w:color="000000"/>
            </w:tcBorders>
            <w:vAlign w:val="center"/>
          </w:tcPr>
          <w:p w14:paraId="2EE29115" w14:textId="77777777" w:rsidR="00492E75" w:rsidRDefault="00000000">
            <w:pPr>
              <w:spacing w:line="300" w:lineRule="exact"/>
              <w:jc w:val="center"/>
              <w:rPr>
                <w:rFonts w:ascii="Times New Roman" w:hAnsi="Times New Roman" w:cs="Times New Roman"/>
                <w:i/>
                <w:iCs/>
                <w:sz w:val="18"/>
                <w:szCs w:val="18"/>
              </w:rPr>
            </w:pPr>
            <w:r>
              <w:rPr>
                <w:rStyle w:val="fontstyle01"/>
                <w:rFonts w:ascii="Times New Roman" w:hAnsi="Times New Roman" w:cs="Times New Roman" w:hint="default"/>
                <w:sz w:val="18"/>
                <w:szCs w:val="18"/>
                <w:lang w:bidi="ar"/>
              </w:rPr>
              <w:t>数字经济新业态</w:t>
            </w:r>
          </w:p>
        </w:tc>
        <w:tc>
          <w:tcPr>
            <w:tcW w:w="597" w:type="pct"/>
            <w:tcBorders>
              <w:top w:val="single" w:sz="4" w:space="0" w:color="000000"/>
              <w:left w:val="single" w:sz="4" w:space="0" w:color="000000"/>
              <w:bottom w:val="nil"/>
              <w:right w:val="single" w:sz="4" w:space="0" w:color="000000"/>
            </w:tcBorders>
            <w:vAlign w:val="center"/>
          </w:tcPr>
          <w:p w14:paraId="44E495D7" w14:textId="77777777" w:rsidR="00492E75" w:rsidRDefault="00492E75">
            <w:pPr>
              <w:spacing w:line="300" w:lineRule="exact"/>
              <w:jc w:val="center"/>
              <w:rPr>
                <w:rFonts w:ascii="Times New Roman" w:hAnsi="Times New Roman" w:cs="Times New Roman"/>
                <w:sz w:val="18"/>
                <w:szCs w:val="18"/>
              </w:rPr>
            </w:pPr>
          </w:p>
        </w:tc>
        <w:tc>
          <w:tcPr>
            <w:tcW w:w="1084" w:type="dxa"/>
            <w:tcBorders>
              <w:top w:val="single" w:sz="4" w:space="0" w:color="000000"/>
              <w:left w:val="single" w:sz="4" w:space="0" w:color="000000"/>
              <w:bottom w:val="nil"/>
              <w:right w:val="single" w:sz="4" w:space="0" w:color="000000"/>
            </w:tcBorders>
          </w:tcPr>
          <w:p w14:paraId="10553053" w14:textId="77777777" w:rsidR="00492E75" w:rsidRDefault="00000000">
            <w:pPr>
              <w:spacing w:line="300" w:lineRule="exact"/>
              <w:jc w:val="center"/>
              <w:rPr>
                <w:rStyle w:val="fontstyle01"/>
                <w:rFonts w:ascii="Times New Roman" w:hAnsi="Times New Roman" w:cs="Times New Roman" w:hint="default"/>
                <w:sz w:val="18"/>
                <w:szCs w:val="18"/>
                <w:lang w:bidi="ar"/>
              </w:rPr>
            </w:pPr>
            <w:r>
              <w:rPr>
                <w:rStyle w:val="fontstyle01"/>
                <w:rFonts w:ascii="Times New Roman" w:hAnsi="Times New Roman" w:cs="Times New Roman" w:hint="default"/>
                <w:sz w:val="18"/>
                <w:szCs w:val="18"/>
                <w:lang w:bidi="ar"/>
              </w:rPr>
              <w:t>0.0361</w:t>
            </w:r>
            <w:r>
              <w:rPr>
                <w:rStyle w:val="fontstyle01"/>
                <w:rFonts w:ascii="Times New Roman" w:hAnsi="Times New Roman" w:cs="Times New Roman" w:hint="default"/>
                <w:sz w:val="18"/>
                <w:szCs w:val="18"/>
                <w:vertAlign w:val="superscript"/>
                <w:lang w:bidi="ar"/>
              </w:rPr>
              <w:t>***</w:t>
            </w:r>
          </w:p>
        </w:tc>
        <w:tc>
          <w:tcPr>
            <w:tcW w:w="570" w:type="pct"/>
            <w:tcBorders>
              <w:top w:val="single" w:sz="4" w:space="0" w:color="000000"/>
              <w:left w:val="single" w:sz="4" w:space="0" w:color="000000"/>
              <w:bottom w:val="nil"/>
              <w:right w:val="single" w:sz="4" w:space="0" w:color="000000"/>
            </w:tcBorders>
          </w:tcPr>
          <w:p w14:paraId="2F2BA41D"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0.0390</w:t>
            </w:r>
            <w:r>
              <w:rPr>
                <w:rStyle w:val="fontstyle01"/>
                <w:rFonts w:ascii="Times New Roman" w:hAnsi="Times New Roman" w:cs="Times New Roman" w:hint="default"/>
                <w:sz w:val="18"/>
                <w:szCs w:val="18"/>
                <w:vertAlign w:val="superscript"/>
                <w:lang w:bidi="ar"/>
              </w:rPr>
              <w:t>***</w:t>
            </w:r>
          </w:p>
        </w:tc>
        <w:tc>
          <w:tcPr>
            <w:tcW w:w="566" w:type="pct"/>
            <w:tcBorders>
              <w:top w:val="single" w:sz="4" w:space="0" w:color="000000"/>
              <w:left w:val="single" w:sz="4" w:space="0" w:color="000000"/>
              <w:bottom w:val="nil"/>
              <w:right w:val="single" w:sz="4" w:space="0" w:color="000000"/>
            </w:tcBorders>
          </w:tcPr>
          <w:p w14:paraId="3843BCB6" w14:textId="77777777" w:rsidR="00492E75" w:rsidRDefault="00000000">
            <w:pPr>
              <w:widowControl/>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0.0319</w:t>
            </w:r>
            <w:r>
              <w:rPr>
                <w:rStyle w:val="fontstyle01"/>
                <w:rFonts w:ascii="Times New Roman" w:hAnsi="Times New Roman" w:cs="Times New Roman" w:hint="default"/>
                <w:sz w:val="18"/>
                <w:szCs w:val="18"/>
                <w:vertAlign w:val="superscript"/>
                <w:lang w:bidi="ar"/>
              </w:rPr>
              <w:t>**</w:t>
            </w:r>
          </w:p>
        </w:tc>
        <w:tc>
          <w:tcPr>
            <w:tcW w:w="570" w:type="pct"/>
            <w:tcBorders>
              <w:top w:val="single" w:sz="4" w:space="0" w:color="000000"/>
              <w:left w:val="single" w:sz="4" w:space="0" w:color="000000"/>
              <w:bottom w:val="nil"/>
              <w:right w:val="single" w:sz="4" w:space="0" w:color="000000"/>
            </w:tcBorders>
          </w:tcPr>
          <w:p w14:paraId="19AB533C"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0.0388</w:t>
            </w:r>
            <w:r>
              <w:rPr>
                <w:rStyle w:val="fontstyle01"/>
                <w:rFonts w:ascii="Times New Roman" w:hAnsi="Times New Roman" w:cs="Times New Roman" w:hint="default"/>
                <w:sz w:val="18"/>
                <w:szCs w:val="18"/>
                <w:vertAlign w:val="superscript"/>
                <w:lang w:bidi="ar"/>
              </w:rPr>
              <w:t>***</w:t>
            </w:r>
          </w:p>
        </w:tc>
        <w:tc>
          <w:tcPr>
            <w:tcW w:w="570" w:type="pct"/>
            <w:tcBorders>
              <w:top w:val="single" w:sz="4" w:space="0" w:color="000000"/>
              <w:left w:val="single" w:sz="4" w:space="0" w:color="000000"/>
              <w:bottom w:val="nil"/>
              <w:right w:val="single" w:sz="4" w:space="0" w:color="000000"/>
            </w:tcBorders>
          </w:tcPr>
          <w:p w14:paraId="5CA4D25A"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0.0424</w:t>
            </w:r>
            <w:r>
              <w:rPr>
                <w:rStyle w:val="fontstyle01"/>
                <w:rFonts w:ascii="Times New Roman" w:hAnsi="Times New Roman" w:cs="Times New Roman" w:hint="default"/>
                <w:sz w:val="18"/>
                <w:szCs w:val="18"/>
                <w:vertAlign w:val="superscript"/>
                <w:lang w:bidi="ar"/>
              </w:rPr>
              <w:t>***</w:t>
            </w:r>
          </w:p>
        </w:tc>
        <w:tc>
          <w:tcPr>
            <w:tcW w:w="571" w:type="pct"/>
            <w:tcBorders>
              <w:top w:val="single" w:sz="4" w:space="0" w:color="000000"/>
              <w:left w:val="single" w:sz="4" w:space="0" w:color="000000"/>
              <w:bottom w:val="nil"/>
              <w:right w:val="nil"/>
            </w:tcBorders>
          </w:tcPr>
          <w:p w14:paraId="3A26B152"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0.0368</w:t>
            </w:r>
            <w:r>
              <w:rPr>
                <w:rStyle w:val="fontstyle01"/>
                <w:rFonts w:ascii="Times New Roman" w:hAnsi="Times New Roman" w:cs="Times New Roman" w:hint="default"/>
                <w:sz w:val="18"/>
                <w:szCs w:val="18"/>
                <w:vertAlign w:val="superscript"/>
                <w:lang w:bidi="ar"/>
              </w:rPr>
              <w:t>***</w:t>
            </w:r>
          </w:p>
        </w:tc>
      </w:tr>
      <w:tr w:rsidR="00492E75" w14:paraId="10D73023" w14:textId="77777777">
        <w:trPr>
          <w:trHeight w:hRule="exact" w:val="317"/>
          <w:jc w:val="center"/>
        </w:trPr>
        <w:tc>
          <w:tcPr>
            <w:tcW w:w="944" w:type="pct"/>
            <w:vMerge/>
            <w:tcBorders>
              <w:top w:val="single" w:sz="4" w:space="0" w:color="000000"/>
              <w:left w:val="nil"/>
              <w:bottom w:val="nil"/>
              <w:right w:val="single" w:sz="4" w:space="0" w:color="000000"/>
            </w:tcBorders>
            <w:vAlign w:val="center"/>
          </w:tcPr>
          <w:p w14:paraId="738164F2" w14:textId="77777777" w:rsidR="00492E75" w:rsidRDefault="00492E75">
            <w:pPr>
              <w:rPr>
                <w:rFonts w:ascii="Times New Roman" w:hAnsi="Times New Roman" w:cs="Times New Roman"/>
                <w:sz w:val="20"/>
                <w:szCs w:val="20"/>
              </w:rPr>
            </w:pPr>
          </w:p>
        </w:tc>
        <w:tc>
          <w:tcPr>
            <w:tcW w:w="597" w:type="pct"/>
            <w:tcBorders>
              <w:top w:val="nil"/>
              <w:left w:val="single" w:sz="4" w:space="0" w:color="000000"/>
              <w:bottom w:val="nil"/>
              <w:right w:val="single" w:sz="4" w:space="0" w:color="000000"/>
            </w:tcBorders>
            <w:vAlign w:val="center"/>
          </w:tcPr>
          <w:p w14:paraId="460A93C5" w14:textId="77777777" w:rsidR="00492E75" w:rsidRDefault="00492E75">
            <w:pPr>
              <w:spacing w:line="300" w:lineRule="exact"/>
              <w:jc w:val="center"/>
              <w:rPr>
                <w:rFonts w:ascii="Times New Roman" w:hAnsi="Times New Roman" w:cs="Times New Roman"/>
                <w:sz w:val="18"/>
                <w:szCs w:val="18"/>
              </w:rPr>
            </w:pPr>
          </w:p>
        </w:tc>
        <w:tc>
          <w:tcPr>
            <w:tcW w:w="1084" w:type="dxa"/>
            <w:tcBorders>
              <w:top w:val="nil"/>
              <w:left w:val="single" w:sz="4" w:space="0" w:color="000000"/>
              <w:bottom w:val="nil"/>
              <w:right w:val="single" w:sz="4" w:space="0" w:color="000000"/>
            </w:tcBorders>
          </w:tcPr>
          <w:p w14:paraId="1ED3D026" w14:textId="77777777" w:rsidR="00492E75" w:rsidRDefault="00000000">
            <w:pPr>
              <w:spacing w:line="300" w:lineRule="exact"/>
              <w:jc w:val="center"/>
              <w:rPr>
                <w:rStyle w:val="fontstyle01"/>
                <w:rFonts w:ascii="Times New Roman" w:hAnsi="Times New Roman" w:cs="Times New Roman" w:hint="default"/>
                <w:sz w:val="18"/>
                <w:szCs w:val="18"/>
                <w:lang w:bidi="ar"/>
              </w:rPr>
            </w:pPr>
            <w:r>
              <w:rPr>
                <w:rStyle w:val="fontstyle01"/>
                <w:rFonts w:ascii="Times New Roman" w:hAnsi="Times New Roman" w:cs="Times New Roman" w:hint="default"/>
                <w:sz w:val="18"/>
                <w:szCs w:val="18"/>
                <w:lang w:bidi="ar"/>
              </w:rPr>
              <w:t>(0.0115)</w:t>
            </w:r>
          </w:p>
        </w:tc>
        <w:tc>
          <w:tcPr>
            <w:tcW w:w="570" w:type="pct"/>
            <w:tcBorders>
              <w:top w:val="nil"/>
              <w:left w:val="single" w:sz="4" w:space="0" w:color="000000"/>
              <w:bottom w:val="nil"/>
              <w:right w:val="single" w:sz="4" w:space="0" w:color="000000"/>
            </w:tcBorders>
          </w:tcPr>
          <w:p w14:paraId="3EE504A4"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(0.0134)</w:t>
            </w:r>
          </w:p>
        </w:tc>
        <w:tc>
          <w:tcPr>
            <w:tcW w:w="566" w:type="pct"/>
            <w:tcBorders>
              <w:top w:val="nil"/>
              <w:left w:val="single" w:sz="4" w:space="0" w:color="000000"/>
              <w:bottom w:val="nil"/>
              <w:right w:val="single" w:sz="4" w:space="0" w:color="000000"/>
            </w:tcBorders>
          </w:tcPr>
          <w:p w14:paraId="72EFE250" w14:textId="77777777" w:rsidR="00492E75" w:rsidRDefault="00000000">
            <w:pPr>
              <w:widowControl/>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(0.0124)</w:t>
            </w:r>
          </w:p>
        </w:tc>
        <w:tc>
          <w:tcPr>
            <w:tcW w:w="570" w:type="pct"/>
            <w:tcBorders>
              <w:top w:val="nil"/>
              <w:left w:val="single" w:sz="4" w:space="0" w:color="000000"/>
              <w:bottom w:val="nil"/>
              <w:right w:val="single" w:sz="4" w:space="0" w:color="000000"/>
            </w:tcBorders>
          </w:tcPr>
          <w:p w14:paraId="77CA15FD"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(0.0136)</w:t>
            </w:r>
          </w:p>
        </w:tc>
        <w:tc>
          <w:tcPr>
            <w:tcW w:w="570" w:type="pct"/>
            <w:tcBorders>
              <w:top w:val="nil"/>
              <w:left w:val="single" w:sz="4" w:space="0" w:color="000000"/>
              <w:bottom w:val="nil"/>
              <w:right w:val="single" w:sz="4" w:space="0" w:color="000000"/>
            </w:tcBorders>
          </w:tcPr>
          <w:p w14:paraId="1EBA7FBA"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(0.0133)</w:t>
            </w:r>
          </w:p>
        </w:tc>
        <w:tc>
          <w:tcPr>
            <w:tcW w:w="571" w:type="pct"/>
            <w:tcBorders>
              <w:top w:val="nil"/>
              <w:left w:val="single" w:sz="4" w:space="0" w:color="000000"/>
              <w:bottom w:val="nil"/>
              <w:right w:val="nil"/>
            </w:tcBorders>
          </w:tcPr>
          <w:p w14:paraId="73C2BCF0"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(0.0136)</w:t>
            </w:r>
          </w:p>
        </w:tc>
      </w:tr>
      <w:tr w:rsidR="00492E75" w14:paraId="0F7D6834" w14:textId="77777777">
        <w:trPr>
          <w:trHeight w:hRule="exact" w:val="317"/>
          <w:jc w:val="center"/>
        </w:trPr>
        <w:tc>
          <w:tcPr>
            <w:tcW w:w="944" w:type="pct"/>
            <w:vMerge w:val="restart"/>
            <w:tcBorders>
              <w:top w:val="nil"/>
              <w:left w:val="nil"/>
              <w:bottom w:val="nil"/>
              <w:right w:val="single" w:sz="4" w:space="0" w:color="000000"/>
            </w:tcBorders>
            <w:vAlign w:val="center"/>
          </w:tcPr>
          <w:p w14:paraId="2A5E6663"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虚假时间变量</w:t>
            </w:r>
          </w:p>
        </w:tc>
        <w:tc>
          <w:tcPr>
            <w:tcW w:w="597" w:type="pct"/>
            <w:tcBorders>
              <w:top w:val="nil"/>
              <w:left w:val="single" w:sz="4" w:space="0" w:color="000000"/>
              <w:bottom w:val="nil"/>
              <w:right w:val="single" w:sz="4" w:space="0" w:color="000000"/>
            </w:tcBorders>
          </w:tcPr>
          <w:p w14:paraId="028ABC3C"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0.0076</w:t>
            </w:r>
          </w:p>
        </w:tc>
        <w:tc>
          <w:tcPr>
            <w:tcW w:w="612" w:type="pct"/>
            <w:tcBorders>
              <w:top w:val="nil"/>
              <w:left w:val="single" w:sz="4" w:space="0" w:color="000000"/>
              <w:bottom w:val="nil"/>
              <w:right w:val="single" w:sz="4" w:space="0" w:color="000000"/>
            </w:tcBorders>
            <w:vAlign w:val="center"/>
          </w:tcPr>
          <w:p w14:paraId="1F63FC3A" w14:textId="77777777" w:rsidR="00492E75" w:rsidRDefault="00492E75">
            <w:pPr>
              <w:spacing w:line="300" w:lineRule="exact"/>
              <w:jc w:val="center"/>
              <w:rPr>
                <w:rStyle w:val="fontstyle01"/>
                <w:rFonts w:ascii="Times New Roman" w:hAnsi="Times New Roman" w:cs="Times New Roman" w:hint="default"/>
                <w:sz w:val="18"/>
                <w:szCs w:val="18"/>
                <w:lang w:bidi="ar"/>
              </w:rPr>
            </w:pPr>
          </w:p>
        </w:tc>
        <w:tc>
          <w:tcPr>
            <w:tcW w:w="570" w:type="pct"/>
            <w:tcBorders>
              <w:top w:val="nil"/>
              <w:left w:val="single" w:sz="4" w:space="0" w:color="000000"/>
              <w:bottom w:val="nil"/>
              <w:right w:val="single" w:sz="4" w:space="0" w:color="000000"/>
            </w:tcBorders>
            <w:vAlign w:val="center"/>
          </w:tcPr>
          <w:p w14:paraId="59CFF9EA" w14:textId="77777777" w:rsidR="00492E75" w:rsidRDefault="00492E75">
            <w:pPr>
              <w:widowControl/>
              <w:spacing w:line="300" w:lineRule="exact"/>
              <w:jc w:val="center"/>
              <w:rPr>
                <w:rFonts w:ascii="Times New Roman" w:hAnsi="Times New Roman" w:cs="Times New Roman"/>
                <w:sz w:val="18"/>
                <w:szCs w:val="18"/>
              </w:rPr>
            </w:pPr>
          </w:p>
        </w:tc>
        <w:tc>
          <w:tcPr>
            <w:tcW w:w="566" w:type="pct"/>
            <w:tcBorders>
              <w:top w:val="nil"/>
              <w:left w:val="single" w:sz="4" w:space="0" w:color="000000"/>
              <w:bottom w:val="nil"/>
              <w:right w:val="single" w:sz="4" w:space="0" w:color="000000"/>
            </w:tcBorders>
            <w:vAlign w:val="center"/>
          </w:tcPr>
          <w:p w14:paraId="1AB3635F" w14:textId="77777777" w:rsidR="00492E75" w:rsidRDefault="00492E75">
            <w:pPr>
              <w:widowControl/>
              <w:spacing w:line="300" w:lineRule="exact"/>
              <w:jc w:val="center"/>
              <w:rPr>
                <w:rFonts w:ascii="Times New Roman" w:hAnsi="Times New Roman" w:cs="Times New Roman"/>
                <w:sz w:val="18"/>
                <w:szCs w:val="18"/>
              </w:rPr>
            </w:pPr>
          </w:p>
        </w:tc>
        <w:tc>
          <w:tcPr>
            <w:tcW w:w="570" w:type="pct"/>
            <w:tcBorders>
              <w:top w:val="nil"/>
              <w:left w:val="single" w:sz="4" w:space="0" w:color="000000"/>
              <w:bottom w:val="nil"/>
              <w:right w:val="single" w:sz="4" w:space="0" w:color="000000"/>
            </w:tcBorders>
            <w:vAlign w:val="center"/>
          </w:tcPr>
          <w:p w14:paraId="6EF7F36C" w14:textId="77777777" w:rsidR="00492E75" w:rsidRDefault="00492E75">
            <w:pPr>
              <w:widowControl/>
              <w:spacing w:line="300" w:lineRule="exact"/>
              <w:jc w:val="center"/>
              <w:rPr>
                <w:rFonts w:ascii="Times New Roman" w:hAnsi="Times New Roman" w:cs="Times New Roman"/>
                <w:sz w:val="18"/>
                <w:szCs w:val="18"/>
              </w:rPr>
            </w:pPr>
          </w:p>
        </w:tc>
        <w:tc>
          <w:tcPr>
            <w:tcW w:w="570" w:type="pct"/>
            <w:tcBorders>
              <w:top w:val="nil"/>
              <w:left w:val="single" w:sz="4" w:space="0" w:color="000000"/>
              <w:bottom w:val="nil"/>
              <w:right w:val="single" w:sz="4" w:space="0" w:color="000000"/>
            </w:tcBorders>
            <w:vAlign w:val="center"/>
          </w:tcPr>
          <w:p w14:paraId="3942741D" w14:textId="77777777" w:rsidR="00492E75" w:rsidRDefault="00492E75">
            <w:pPr>
              <w:widowControl/>
              <w:spacing w:line="300" w:lineRule="exact"/>
              <w:jc w:val="center"/>
              <w:rPr>
                <w:rFonts w:ascii="Times New Roman" w:hAnsi="Times New Roman" w:cs="Times New Roman"/>
                <w:sz w:val="18"/>
                <w:szCs w:val="18"/>
              </w:rPr>
            </w:pPr>
          </w:p>
        </w:tc>
        <w:tc>
          <w:tcPr>
            <w:tcW w:w="571" w:type="pct"/>
            <w:tcBorders>
              <w:top w:val="nil"/>
              <w:left w:val="single" w:sz="4" w:space="0" w:color="000000"/>
              <w:bottom w:val="nil"/>
              <w:right w:val="nil"/>
            </w:tcBorders>
          </w:tcPr>
          <w:p w14:paraId="456D5C5E" w14:textId="77777777" w:rsidR="00492E75" w:rsidRDefault="00492E75">
            <w:pPr>
              <w:widowControl/>
              <w:spacing w:line="300" w:lineRule="exact"/>
              <w:jc w:val="center"/>
              <w:rPr>
                <w:rFonts w:ascii="Times New Roman" w:hAnsi="Times New Roman" w:cs="Times New Roman"/>
                <w:sz w:val="18"/>
                <w:szCs w:val="18"/>
              </w:rPr>
            </w:pPr>
          </w:p>
        </w:tc>
      </w:tr>
      <w:tr w:rsidR="00492E75" w14:paraId="4884A8B4" w14:textId="77777777">
        <w:trPr>
          <w:trHeight w:hRule="exact" w:val="317"/>
          <w:jc w:val="center"/>
        </w:trPr>
        <w:tc>
          <w:tcPr>
            <w:tcW w:w="944" w:type="pct"/>
            <w:vMerge/>
            <w:tcBorders>
              <w:top w:val="nil"/>
              <w:left w:val="nil"/>
              <w:bottom w:val="nil"/>
              <w:right w:val="single" w:sz="4" w:space="0" w:color="000000"/>
            </w:tcBorders>
            <w:vAlign w:val="center"/>
          </w:tcPr>
          <w:p w14:paraId="59135580" w14:textId="77777777" w:rsidR="00492E75" w:rsidRDefault="00492E75">
            <w:pPr>
              <w:rPr>
                <w:rFonts w:ascii="Times New Roman" w:hAnsi="Times New Roman" w:cs="Times New Roman"/>
                <w:sz w:val="20"/>
                <w:szCs w:val="20"/>
              </w:rPr>
            </w:pPr>
          </w:p>
        </w:tc>
        <w:tc>
          <w:tcPr>
            <w:tcW w:w="597" w:type="pct"/>
            <w:tcBorders>
              <w:top w:val="nil"/>
              <w:left w:val="single" w:sz="4" w:space="0" w:color="000000"/>
              <w:bottom w:val="nil"/>
              <w:right w:val="single" w:sz="4" w:space="0" w:color="000000"/>
            </w:tcBorders>
          </w:tcPr>
          <w:p w14:paraId="55C3FBB2"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(0.0306)</w:t>
            </w:r>
          </w:p>
        </w:tc>
        <w:tc>
          <w:tcPr>
            <w:tcW w:w="612" w:type="pct"/>
            <w:tcBorders>
              <w:top w:val="nil"/>
              <w:left w:val="single" w:sz="4" w:space="0" w:color="000000"/>
              <w:bottom w:val="nil"/>
              <w:right w:val="single" w:sz="4" w:space="0" w:color="000000"/>
            </w:tcBorders>
            <w:vAlign w:val="center"/>
          </w:tcPr>
          <w:p w14:paraId="5A9BC097" w14:textId="77777777" w:rsidR="00492E75" w:rsidRDefault="00492E75">
            <w:pPr>
              <w:spacing w:line="300" w:lineRule="exact"/>
              <w:jc w:val="center"/>
              <w:rPr>
                <w:rStyle w:val="fontstyle01"/>
                <w:rFonts w:ascii="Times New Roman" w:hAnsi="Times New Roman" w:cs="Times New Roman" w:hint="default"/>
                <w:sz w:val="18"/>
                <w:szCs w:val="18"/>
                <w:lang w:bidi="ar"/>
              </w:rPr>
            </w:pPr>
          </w:p>
        </w:tc>
        <w:tc>
          <w:tcPr>
            <w:tcW w:w="570" w:type="pct"/>
            <w:tcBorders>
              <w:top w:val="nil"/>
              <w:left w:val="single" w:sz="4" w:space="0" w:color="000000"/>
              <w:bottom w:val="nil"/>
              <w:right w:val="single" w:sz="4" w:space="0" w:color="000000"/>
            </w:tcBorders>
            <w:vAlign w:val="center"/>
          </w:tcPr>
          <w:p w14:paraId="24385466" w14:textId="77777777" w:rsidR="00492E75" w:rsidRDefault="00492E75">
            <w:pPr>
              <w:widowControl/>
              <w:spacing w:line="300" w:lineRule="exact"/>
              <w:jc w:val="center"/>
              <w:rPr>
                <w:rFonts w:ascii="Times New Roman" w:hAnsi="Times New Roman" w:cs="Times New Roman"/>
                <w:sz w:val="18"/>
                <w:szCs w:val="18"/>
              </w:rPr>
            </w:pPr>
          </w:p>
        </w:tc>
        <w:tc>
          <w:tcPr>
            <w:tcW w:w="566" w:type="pct"/>
            <w:tcBorders>
              <w:top w:val="nil"/>
              <w:left w:val="single" w:sz="4" w:space="0" w:color="000000"/>
              <w:bottom w:val="nil"/>
              <w:right w:val="single" w:sz="4" w:space="0" w:color="000000"/>
            </w:tcBorders>
            <w:vAlign w:val="center"/>
          </w:tcPr>
          <w:p w14:paraId="200A83FB" w14:textId="77777777" w:rsidR="00492E75" w:rsidRDefault="00492E75">
            <w:pPr>
              <w:widowControl/>
              <w:spacing w:line="300" w:lineRule="exact"/>
              <w:jc w:val="center"/>
              <w:rPr>
                <w:rFonts w:ascii="Times New Roman" w:hAnsi="Times New Roman" w:cs="Times New Roman"/>
                <w:sz w:val="18"/>
                <w:szCs w:val="18"/>
              </w:rPr>
            </w:pPr>
          </w:p>
        </w:tc>
        <w:tc>
          <w:tcPr>
            <w:tcW w:w="570" w:type="pct"/>
            <w:tcBorders>
              <w:top w:val="nil"/>
              <w:left w:val="single" w:sz="4" w:space="0" w:color="000000"/>
              <w:bottom w:val="nil"/>
              <w:right w:val="single" w:sz="4" w:space="0" w:color="000000"/>
            </w:tcBorders>
            <w:vAlign w:val="center"/>
          </w:tcPr>
          <w:p w14:paraId="4E75ED21" w14:textId="77777777" w:rsidR="00492E75" w:rsidRDefault="00492E75">
            <w:pPr>
              <w:widowControl/>
              <w:spacing w:line="300" w:lineRule="exact"/>
              <w:jc w:val="center"/>
              <w:rPr>
                <w:rFonts w:ascii="Times New Roman" w:hAnsi="Times New Roman" w:cs="Times New Roman"/>
                <w:sz w:val="18"/>
                <w:szCs w:val="18"/>
              </w:rPr>
            </w:pPr>
          </w:p>
        </w:tc>
        <w:tc>
          <w:tcPr>
            <w:tcW w:w="570" w:type="pct"/>
            <w:tcBorders>
              <w:top w:val="nil"/>
              <w:left w:val="single" w:sz="4" w:space="0" w:color="000000"/>
              <w:bottom w:val="nil"/>
              <w:right w:val="single" w:sz="4" w:space="0" w:color="000000"/>
            </w:tcBorders>
            <w:vAlign w:val="center"/>
          </w:tcPr>
          <w:p w14:paraId="1D16E6A1" w14:textId="77777777" w:rsidR="00492E75" w:rsidRDefault="00492E75">
            <w:pPr>
              <w:widowControl/>
              <w:spacing w:line="300" w:lineRule="exact"/>
              <w:jc w:val="center"/>
              <w:rPr>
                <w:rFonts w:ascii="Times New Roman" w:hAnsi="Times New Roman" w:cs="Times New Roman"/>
                <w:sz w:val="18"/>
                <w:szCs w:val="18"/>
              </w:rPr>
            </w:pPr>
          </w:p>
        </w:tc>
        <w:tc>
          <w:tcPr>
            <w:tcW w:w="571" w:type="pct"/>
            <w:tcBorders>
              <w:top w:val="nil"/>
              <w:left w:val="single" w:sz="4" w:space="0" w:color="000000"/>
              <w:bottom w:val="nil"/>
              <w:right w:val="nil"/>
            </w:tcBorders>
          </w:tcPr>
          <w:p w14:paraId="129A6796" w14:textId="77777777" w:rsidR="00492E75" w:rsidRDefault="00492E75">
            <w:pPr>
              <w:widowControl/>
              <w:spacing w:line="300" w:lineRule="exact"/>
              <w:jc w:val="center"/>
              <w:rPr>
                <w:rFonts w:ascii="Times New Roman" w:hAnsi="Times New Roman" w:cs="Times New Roman"/>
                <w:sz w:val="18"/>
                <w:szCs w:val="18"/>
              </w:rPr>
            </w:pPr>
          </w:p>
        </w:tc>
      </w:tr>
      <w:tr w:rsidR="00492E75" w14:paraId="40A601AE" w14:textId="77777777">
        <w:trPr>
          <w:trHeight w:hRule="exact" w:val="317"/>
          <w:jc w:val="center"/>
        </w:trPr>
        <w:tc>
          <w:tcPr>
            <w:tcW w:w="944" w:type="pct"/>
            <w:vMerge w:val="restart"/>
            <w:tcBorders>
              <w:top w:val="nil"/>
              <w:left w:val="nil"/>
              <w:bottom w:val="nil"/>
              <w:right w:val="single" w:sz="4" w:space="0" w:color="000000"/>
            </w:tcBorders>
            <w:vAlign w:val="center"/>
          </w:tcPr>
          <w:p w14:paraId="2448D89C"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常数项</w:t>
            </w:r>
          </w:p>
        </w:tc>
        <w:tc>
          <w:tcPr>
            <w:tcW w:w="597" w:type="pct"/>
            <w:tcBorders>
              <w:top w:val="nil"/>
              <w:left w:val="single" w:sz="4" w:space="0" w:color="000000"/>
              <w:bottom w:val="nil"/>
              <w:right w:val="single" w:sz="4" w:space="0" w:color="000000"/>
            </w:tcBorders>
          </w:tcPr>
          <w:p w14:paraId="19AA9CA2"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1.5353</w:t>
            </w:r>
            <w:r>
              <w:rPr>
                <w:rStyle w:val="fontstyle01"/>
                <w:rFonts w:ascii="Times New Roman" w:hAnsi="Times New Roman" w:cs="Times New Roman" w:hint="default"/>
                <w:sz w:val="18"/>
                <w:szCs w:val="18"/>
                <w:vertAlign w:val="superscript"/>
                <w:lang w:bidi="ar"/>
              </w:rPr>
              <w:t>***</w:t>
            </w:r>
          </w:p>
        </w:tc>
        <w:tc>
          <w:tcPr>
            <w:tcW w:w="1084" w:type="dxa"/>
            <w:tcBorders>
              <w:top w:val="nil"/>
              <w:left w:val="single" w:sz="4" w:space="0" w:color="000000"/>
              <w:bottom w:val="nil"/>
              <w:right w:val="single" w:sz="4" w:space="0" w:color="000000"/>
            </w:tcBorders>
          </w:tcPr>
          <w:p w14:paraId="4147C306" w14:textId="77777777" w:rsidR="00492E75" w:rsidRDefault="00000000">
            <w:pPr>
              <w:spacing w:line="300" w:lineRule="exact"/>
              <w:jc w:val="center"/>
              <w:rPr>
                <w:rStyle w:val="fontstyle01"/>
                <w:rFonts w:ascii="Times New Roman" w:hAnsi="Times New Roman" w:cs="Times New Roman" w:hint="default"/>
                <w:sz w:val="18"/>
                <w:szCs w:val="18"/>
                <w:lang w:bidi="ar"/>
              </w:rPr>
            </w:pPr>
            <w:r>
              <w:rPr>
                <w:rStyle w:val="fontstyle01"/>
                <w:rFonts w:ascii="Times New Roman" w:hAnsi="Times New Roman" w:cs="Times New Roman" w:hint="default"/>
                <w:sz w:val="18"/>
                <w:szCs w:val="18"/>
                <w:lang w:bidi="ar"/>
              </w:rPr>
              <w:t>1.3861</w:t>
            </w:r>
            <w:r>
              <w:rPr>
                <w:rStyle w:val="fontstyle01"/>
                <w:rFonts w:ascii="Times New Roman" w:hAnsi="Times New Roman" w:cs="Times New Roman" w:hint="default"/>
                <w:sz w:val="18"/>
                <w:szCs w:val="18"/>
                <w:vertAlign w:val="superscript"/>
                <w:lang w:bidi="ar"/>
              </w:rPr>
              <w:t>***</w:t>
            </w:r>
          </w:p>
        </w:tc>
        <w:tc>
          <w:tcPr>
            <w:tcW w:w="570" w:type="pct"/>
            <w:tcBorders>
              <w:top w:val="nil"/>
              <w:left w:val="single" w:sz="4" w:space="0" w:color="000000"/>
              <w:bottom w:val="nil"/>
              <w:right w:val="single" w:sz="4" w:space="0" w:color="000000"/>
            </w:tcBorders>
          </w:tcPr>
          <w:p w14:paraId="7911A4A7"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1.7996</w:t>
            </w:r>
            <w:r>
              <w:rPr>
                <w:rStyle w:val="fontstyle01"/>
                <w:rFonts w:ascii="Times New Roman" w:hAnsi="Times New Roman" w:cs="Times New Roman" w:hint="default"/>
                <w:sz w:val="18"/>
                <w:szCs w:val="18"/>
                <w:vertAlign w:val="superscript"/>
                <w:lang w:bidi="ar"/>
              </w:rPr>
              <w:t>***</w:t>
            </w:r>
          </w:p>
        </w:tc>
        <w:tc>
          <w:tcPr>
            <w:tcW w:w="566" w:type="pct"/>
            <w:tcBorders>
              <w:top w:val="nil"/>
              <w:left w:val="single" w:sz="4" w:space="0" w:color="000000"/>
              <w:bottom w:val="nil"/>
              <w:right w:val="single" w:sz="4" w:space="0" w:color="000000"/>
            </w:tcBorders>
          </w:tcPr>
          <w:p w14:paraId="34E694F4" w14:textId="77777777" w:rsidR="00492E75" w:rsidRDefault="00000000">
            <w:pPr>
              <w:widowControl/>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1.7811</w:t>
            </w:r>
            <w:r>
              <w:rPr>
                <w:rStyle w:val="fontstyle01"/>
                <w:rFonts w:ascii="Times New Roman" w:hAnsi="Times New Roman" w:cs="Times New Roman" w:hint="default"/>
                <w:sz w:val="18"/>
                <w:szCs w:val="18"/>
                <w:vertAlign w:val="superscript"/>
                <w:lang w:bidi="ar"/>
              </w:rPr>
              <w:t>***</w:t>
            </w:r>
          </w:p>
        </w:tc>
        <w:tc>
          <w:tcPr>
            <w:tcW w:w="570" w:type="pct"/>
            <w:tcBorders>
              <w:top w:val="nil"/>
              <w:left w:val="single" w:sz="4" w:space="0" w:color="000000"/>
              <w:bottom w:val="nil"/>
              <w:right w:val="single" w:sz="4" w:space="0" w:color="000000"/>
            </w:tcBorders>
          </w:tcPr>
          <w:p w14:paraId="0CED18E7"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1.4230</w:t>
            </w:r>
            <w:r>
              <w:rPr>
                <w:rStyle w:val="fontstyle01"/>
                <w:rFonts w:ascii="Times New Roman" w:hAnsi="Times New Roman" w:cs="Times New Roman" w:hint="default"/>
                <w:sz w:val="18"/>
                <w:szCs w:val="18"/>
                <w:vertAlign w:val="superscript"/>
                <w:lang w:bidi="ar"/>
              </w:rPr>
              <w:t>*</w:t>
            </w:r>
          </w:p>
        </w:tc>
        <w:tc>
          <w:tcPr>
            <w:tcW w:w="570" w:type="pct"/>
            <w:tcBorders>
              <w:top w:val="nil"/>
              <w:left w:val="single" w:sz="4" w:space="0" w:color="000000"/>
              <w:bottom w:val="nil"/>
              <w:right w:val="single" w:sz="4" w:space="0" w:color="000000"/>
            </w:tcBorders>
          </w:tcPr>
          <w:p w14:paraId="7EE11B99"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1.3144</w:t>
            </w:r>
            <w:r>
              <w:rPr>
                <w:rStyle w:val="fontstyle01"/>
                <w:rFonts w:ascii="Times New Roman" w:hAnsi="Times New Roman" w:cs="Times New Roman" w:hint="default"/>
                <w:sz w:val="18"/>
                <w:szCs w:val="18"/>
                <w:vertAlign w:val="superscript"/>
                <w:lang w:bidi="ar"/>
              </w:rPr>
              <w:t>***</w:t>
            </w:r>
          </w:p>
        </w:tc>
        <w:tc>
          <w:tcPr>
            <w:tcW w:w="571" w:type="pct"/>
            <w:tcBorders>
              <w:top w:val="nil"/>
              <w:left w:val="single" w:sz="4" w:space="0" w:color="000000"/>
              <w:bottom w:val="nil"/>
              <w:right w:val="nil"/>
            </w:tcBorders>
          </w:tcPr>
          <w:p w14:paraId="1CECB9F1"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6.6861</w:t>
            </w:r>
            <w:r>
              <w:rPr>
                <w:rStyle w:val="fontstyle01"/>
                <w:rFonts w:ascii="Times New Roman" w:hAnsi="Times New Roman" w:cs="Times New Roman" w:hint="default"/>
                <w:sz w:val="18"/>
                <w:szCs w:val="18"/>
                <w:vertAlign w:val="superscript"/>
                <w:lang w:bidi="ar"/>
              </w:rPr>
              <w:t>***</w:t>
            </w:r>
          </w:p>
        </w:tc>
      </w:tr>
      <w:tr w:rsidR="00492E75" w14:paraId="09841A86" w14:textId="77777777">
        <w:trPr>
          <w:trHeight w:hRule="exact" w:val="317"/>
          <w:jc w:val="center"/>
        </w:trPr>
        <w:tc>
          <w:tcPr>
            <w:tcW w:w="944" w:type="pct"/>
            <w:vMerge/>
            <w:tcBorders>
              <w:top w:val="nil"/>
              <w:left w:val="nil"/>
              <w:bottom w:val="nil"/>
              <w:right w:val="single" w:sz="4" w:space="0" w:color="000000"/>
            </w:tcBorders>
            <w:vAlign w:val="center"/>
          </w:tcPr>
          <w:p w14:paraId="3B9B53B7" w14:textId="77777777" w:rsidR="00492E75" w:rsidRDefault="00492E75">
            <w:pPr>
              <w:rPr>
                <w:rFonts w:ascii="Times New Roman" w:hAnsi="Times New Roman" w:cs="Times New Roman"/>
                <w:sz w:val="20"/>
                <w:szCs w:val="20"/>
              </w:rPr>
            </w:pPr>
          </w:p>
        </w:tc>
        <w:tc>
          <w:tcPr>
            <w:tcW w:w="597" w:type="pct"/>
            <w:tcBorders>
              <w:top w:val="nil"/>
              <w:left w:val="single" w:sz="4" w:space="0" w:color="000000"/>
              <w:bottom w:val="nil"/>
              <w:right w:val="single" w:sz="4" w:space="0" w:color="000000"/>
            </w:tcBorders>
          </w:tcPr>
          <w:p w14:paraId="50E775B6"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(0.5052)</w:t>
            </w:r>
          </w:p>
        </w:tc>
        <w:tc>
          <w:tcPr>
            <w:tcW w:w="1084" w:type="dxa"/>
            <w:tcBorders>
              <w:top w:val="nil"/>
              <w:left w:val="single" w:sz="4" w:space="0" w:color="000000"/>
              <w:bottom w:val="nil"/>
              <w:right w:val="single" w:sz="4" w:space="0" w:color="000000"/>
            </w:tcBorders>
          </w:tcPr>
          <w:p w14:paraId="5A9BA5FA" w14:textId="77777777" w:rsidR="00492E75" w:rsidRDefault="00000000">
            <w:pPr>
              <w:spacing w:line="300" w:lineRule="exact"/>
              <w:jc w:val="center"/>
              <w:rPr>
                <w:rStyle w:val="fontstyle01"/>
                <w:rFonts w:ascii="Times New Roman" w:hAnsi="Times New Roman" w:cs="Times New Roman" w:hint="default"/>
                <w:sz w:val="18"/>
                <w:szCs w:val="18"/>
                <w:lang w:bidi="ar"/>
              </w:rPr>
            </w:pPr>
            <w:r>
              <w:rPr>
                <w:rStyle w:val="fontstyle01"/>
                <w:rFonts w:ascii="Times New Roman" w:hAnsi="Times New Roman" w:cs="Times New Roman" w:hint="default"/>
                <w:sz w:val="18"/>
                <w:szCs w:val="18"/>
                <w:lang w:bidi="ar"/>
              </w:rPr>
              <w:t>(0.4713)</w:t>
            </w:r>
          </w:p>
        </w:tc>
        <w:tc>
          <w:tcPr>
            <w:tcW w:w="570" w:type="pct"/>
            <w:tcBorders>
              <w:top w:val="nil"/>
              <w:left w:val="single" w:sz="4" w:space="0" w:color="000000"/>
              <w:bottom w:val="nil"/>
              <w:right w:val="single" w:sz="4" w:space="0" w:color="000000"/>
            </w:tcBorders>
          </w:tcPr>
          <w:p w14:paraId="203B4003"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(0.5948)</w:t>
            </w:r>
          </w:p>
        </w:tc>
        <w:tc>
          <w:tcPr>
            <w:tcW w:w="566" w:type="pct"/>
            <w:tcBorders>
              <w:top w:val="nil"/>
              <w:left w:val="single" w:sz="4" w:space="0" w:color="000000"/>
              <w:bottom w:val="nil"/>
              <w:right w:val="single" w:sz="4" w:space="0" w:color="000000"/>
            </w:tcBorders>
          </w:tcPr>
          <w:p w14:paraId="1C1384EA" w14:textId="77777777" w:rsidR="00492E75" w:rsidRDefault="00000000">
            <w:pPr>
              <w:widowControl/>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(0.4831)</w:t>
            </w:r>
          </w:p>
        </w:tc>
        <w:tc>
          <w:tcPr>
            <w:tcW w:w="570" w:type="pct"/>
            <w:tcBorders>
              <w:top w:val="nil"/>
              <w:left w:val="single" w:sz="4" w:space="0" w:color="000000"/>
              <w:bottom w:val="nil"/>
              <w:right w:val="single" w:sz="4" w:space="0" w:color="000000"/>
            </w:tcBorders>
          </w:tcPr>
          <w:p w14:paraId="33DEC5F9"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(0.7254)</w:t>
            </w:r>
          </w:p>
        </w:tc>
        <w:tc>
          <w:tcPr>
            <w:tcW w:w="570" w:type="pct"/>
            <w:tcBorders>
              <w:top w:val="nil"/>
              <w:left w:val="single" w:sz="4" w:space="0" w:color="000000"/>
              <w:bottom w:val="nil"/>
              <w:right w:val="single" w:sz="4" w:space="0" w:color="000000"/>
            </w:tcBorders>
          </w:tcPr>
          <w:p w14:paraId="045DA772"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(0.4596)</w:t>
            </w:r>
          </w:p>
        </w:tc>
        <w:tc>
          <w:tcPr>
            <w:tcW w:w="571" w:type="pct"/>
            <w:tcBorders>
              <w:top w:val="nil"/>
              <w:left w:val="single" w:sz="4" w:space="0" w:color="000000"/>
              <w:bottom w:val="nil"/>
              <w:right w:val="nil"/>
            </w:tcBorders>
          </w:tcPr>
          <w:p w14:paraId="17ED668E"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(1.9066)</w:t>
            </w:r>
          </w:p>
        </w:tc>
      </w:tr>
      <w:tr w:rsidR="00492E75" w14:paraId="1BB55C43" w14:textId="77777777">
        <w:trPr>
          <w:trHeight w:hRule="exact" w:val="317"/>
          <w:jc w:val="center"/>
        </w:trPr>
        <w:tc>
          <w:tcPr>
            <w:tcW w:w="944" w:type="pct"/>
            <w:tcBorders>
              <w:top w:val="nil"/>
              <w:left w:val="nil"/>
              <w:bottom w:val="nil"/>
              <w:right w:val="single" w:sz="4" w:space="0" w:color="000000"/>
            </w:tcBorders>
            <w:vAlign w:val="center"/>
          </w:tcPr>
          <w:p w14:paraId="2BFA3E5A"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控制变量</w:t>
            </w:r>
          </w:p>
        </w:tc>
        <w:tc>
          <w:tcPr>
            <w:tcW w:w="597" w:type="pct"/>
            <w:tcBorders>
              <w:top w:val="nil"/>
              <w:left w:val="single" w:sz="4" w:space="0" w:color="000000"/>
              <w:bottom w:val="nil"/>
              <w:right w:val="single" w:sz="4" w:space="0" w:color="000000"/>
            </w:tcBorders>
          </w:tcPr>
          <w:p w14:paraId="3A36DAF6" w14:textId="77777777" w:rsidR="00492E75" w:rsidRDefault="00000000">
            <w:pPr>
              <w:widowControl/>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控制</w:t>
            </w:r>
          </w:p>
        </w:tc>
        <w:tc>
          <w:tcPr>
            <w:tcW w:w="612" w:type="pct"/>
            <w:tcBorders>
              <w:top w:val="nil"/>
              <w:left w:val="single" w:sz="4" w:space="0" w:color="000000"/>
              <w:bottom w:val="nil"/>
              <w:right w:val="single" w:sz="4" w:space="0" w:color="000000"/>
            </w:tcBorders>
          </w:tcPr>
          <w:p w14:paraId="657AE828" w14:textId="77777777" w:rsidR="00492E75" w:rsidRDefault="00000000">
            <w:pPr>
              <w:spacing w:line="300" w:lineRule="exact"/>
              <w:jc w:val="center"/>
              <w:rPr>
                <w:rStyle w:val="fontstyle01"/>
                <w:rFonts w:ascii="Times New Roman" w:hAnsi="Times New Roman" w:cs="Times New Roman" w:hint="default"/>
                <w:sz w:val="18"/>
                <w:szCs w:val="18"/>
                <w:lang w:bidi="ar"/>
              </w:rPr>
            </w:pPr>
            <w:r>
              <w:rPr>
                <w:rStyle w:val="fontstyle01"/>
                <w:rFonts w:ascii="Times New Roman" w:hAnsi="Times New Roman" w:cs="Times New Roman" w:hint="default"/>
                <w:sz w:val="18"/>
                <w:szCs w:val="18"/>
                <w:lang w:bidi="ar"/>
              </w:rPr>
              <w:t>控制</w:t>
            </w:r>
          </w:p>
        </w:tc>
        <w:tc>
          <w:tcPr>
            <w:tcW w:w="570" w:type="pct"/>
            <w:tcBorders>
              <w:top w:val="nil"/>
              <w:left w:val="single" w:sz="4" w:space="0" w:color="000000"/>
              <w:bottom w:val="nil"/>
              <w:right w:val="single" w:sz="4" w:space="0" w:color="000000"/>
            </w:tcBorders>
          </w:tcPr>
          <w:p w14:paraId="372929BD" w14:textId="77777777" w:rsidR="00492E75" w:rsidRDefault="00000000">
            <w:pPr>
              <w:widowControl/>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控制</w:t>
            </w:r>
          </w:p>
        </w:tc>
        <w:tc>
          <w:tcPr>
            <w:tcW w:w="566" w:type="pct"/>
            <w:tcBorders>
              <w:top w:val="nil"/>
              <w:left w:val="single" w:sz="4" w:space="0" w:color="000000"/>
              <w:bottom w:val="nil"/>
              <w:right w:val="single" w:sz="4" w:space="0" w:color="000000"/>
            </w:tcBorders>
          </w:tcPr>
          <w:p w14:paraId="4132FE05" w14:textId="77777777" w:rsidR="00492E75" w:rsidRDefault="00000000">
            <w:pPr>
              <w:widowControl/>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控制</w:t>
            </w:r>
          </w:p>
        </w:tc>
        <w:tc>
          <w:tcPr>
            <w:tcW w:w="570" w:type="pct"/>
            <w:tcBorders>
              <w:top w:val="nil"/>
              <w:left w:val="single" w:sz="4" w:space="0" w:color="000000"/>
              <w:bottom w:val="nil"/>
              <w:right w:val="single" w:sz="4" w:space="0" w:color="000000"/>
            </w:tcBorders>
          </w:tcPr>
          <w:p w14:paraId="5C47CECC" w14:textId="77777777" w:rsidR="00492E75" w:rsidRDefault="00000000">
            <w:pPr>
              <w:widowControl/>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控制</w:t>
            </w:r>
          </w:p>
        </w:tc>
        <w:tc>
          <w:tcPr>
            <w:tcW w:w="570" w:type="pct"/>
            <w:tcBorders>
              <w:top w:val="nil"/>
              <w:left w:val="single" w:sz="4" w:space="0" w:color="000000"/>
              <w:bottom w:val="nil"/>
              <w:right w:val="single" w:sz="4" w:space="0" w:color="000000"/>
            </w:tcBorders>
          </w:tcPr>
          <w:p w14:paraId="49D53ECD" w14:textId="77777777" w:rsidR="00492E75" w:rsidRDefault="00000000">
            <w:pPr>
              <w:widowControl/>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控制</w:t>
            </w:r>
          </w:p>
        </w:tc>
        <w:tc>
          <w:tcPr>
            <w:tcW w:w="571" w:type="pct"/>
            <w:tcBorders>
              <w:top w:val="nil"/>
              <w:left w:val="single" w:sz="4" w:space="0" w:color="000000"/>
              <w:bottom w:val="nil"/>
              <w:right w:val="nil"/>
            </w:tcBorders>
          </w:tcPr>
          <w:p w14:paraId="14D71E62" w14:textId="77777777" w:rsidR="00492E75" w:rsidRDefault="00000000">
            <w:pPr>
              <w:widowControl/>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控制</w:t>
            </w:r>
          </w:p>
        </w:tc>
      </w:tr>
      <w:tr w:rsidR="00492E75" w14:paraId="22503485" w14:textId="77777777">
        <w:trPr>
          <w:trHeight w:hRule="exact" w:val="317"/>
          <w:jc w:val="center"/>
        </w:trPr>
        <w:tc>
          <w:tcPr>
            <w:tcW w:w="944" w:type="pct"/>
            <w:tcBorders>
              <w:top w:val="nil"/>
              <w:left w:val="nil"/>
              <w:bottom w:val="nil"/>
              <w:right w:val="single" w:sz="4" w:space="0" w:color="000000"/>
            </w:tcBorders>
            <w:vAlign w:val="center"/>
          </w:tcPr>
          <w:p w14:paraId="17A134D5"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固定效应</w:t>
            </w:r>
          </w:p>
        </w:tc>
        <w:tc>
          <w:tcPr>
            <w:tcW w:w="597" w:type="pct"/>
            <w:tcBorders>
              <w:top w:val="nil"/>
              <w:left w:val="single" w:sz="4" w:space="0" w:color="000000"/>
              <w:bottom w:val="nil"/>
              <w:right w:val="single" w:sz="4" w:space="0" w:color="000000"/>
            </w:tcBorders>
          </w:tcPr>
          <w:p w14:paraId="1E749597" w14:textId="77777777" w:rsidR="00492E75" w:rsidRDefault="00000000">
            <w:pPr>
              <w:widowControl/>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控制</w:t>
            </w:r>
          </w:p>
        </w:tc>
        <w:tc>
          <w:tcPr>
            <w:tcW w:w="612" w:type="pct"/>
            <w:tcBorders>
              <w:top w:val="nil"/>
              <w:left w:val="single" w:sz="4" w:space="0" w:color="000000"/>
              <w:bottom w:val="nil"/>
              <w:right w:val="single" w:sz="4" w:space="0" w:color="000000"/>
            </w:tcBorders>
          </w:tcPr>
          <w:p w14:paraId="799B7CE5" w14:textId="77777777" w:rsidR="00492E75" w:rsidRDefault="00000000">
            <w:pPr>
              <w:spacing w:line="300" w:lineRule="exact"/>
              <w:jc w:val="center"/>
              <w:rPr>
                <w:rStyle w:val="fontstyle01"/>
                <w:rFonts w:ascii="Times New Roman" w:hAnsi="Times New Roman" w:cs="Times New Roman" w:hint="default"/>
                <w:sz w:val="18"/>
                <w:szCs w:val="18"/>
                <w:lang w:bidi="ar"/>
              </w:rPr>
            </w:pPr>
            <w:r>
              <w:rPr>
                <w:rStyle w:val="fontstyle01"/>
                <w:rFonts w:ascii="Times New Roman" w:hAnsi="Times New Roman" w:cs="Times New Roman" w:hint="default"/>
                <w:sz w:val="18"/>
                <w:szCs w:val="18"/>
                <w:lang w:bidi="ar"/>
              </w:rPr>
              <w:t>控制</w:t>
            </w:r>
          </w:p>
        </w:tc>
        <w:tc>
          <w:tcPr>
            <w:tcW w:w="570" w:type="pct"/>
            <w:tcBorders>
              <w:top w:val="nil"/>
              <w:left w:val="single" w:sz="4" w:space="0" w:color="000000"/>
              <w:bottom w:val="nil"/>
              <w:right w:val="single" w:sz="4" w:space="0" w:color="000000"/>
            </w:tcBorders>
          </w:tcPr>
          <w:p w14:paraId="5D13627D" w14:textId="77777777" w:rsidR="00492E75" w:rsidRDefault="00000000">
            <w:pPr>
              <w:widowControl/>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控制</w:t>
            </w:r>
          </w:p>
        </w:tc>
        <w:tc>
          <w:tcPr>
            <w:tcW w:w="566" w:type="pct"/>
            <w:tcBorders>
              <w:top w:val="nil"/>
              <w:left w:val="single" w:sz="4" w:space="0" w:color="000000"/>
              <w:bottom w:val="nil"/>
              <w:right w:val="single" w:sz="4" w:space="0" w:color="000000"/>
            </w:tcBorders>
          </w:tcPr>
          <w:p w14:paraId="4BB634A5" w14:textId="77777777" w:rsidR="00492E75" w:rsidRDefault="00000000">
            <w:pPr>
              <w:widowControl/>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控制</w:t>
            </w:r>
          </w:p>
        </w:tc>
        <w:tc>
          <w:tcPr>
            <w:tcW w:w="570" w:type="pct"/>
            <w:tcBorders>
              <w:top w:val="nil"/>
              <w:left w:val="single" w:sz="4" w:space="0" w:color="000000"/>
              <w:bottom w:val="nil"/>
              <w:right w:val="single" w:sz="4" w:space="0" w:color="000000"/>
            </w:tcBorders>
          </w:tcPr>
          <w:p w14:paraId="280E729D" w14:textId="77777777" w:rsidR="00492E75" w:rsidRDefault="00000000">
            <w:pPr>
              <w:widowControl/>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控制</w:t>
            </w:r>
          </w:p>
        </w:tc>
        <w:tc>
          <w:tcPr>
            <w:tcW w:w="570" w:type="pct"/>
            <w:tcBorders>
              <w:top w:val="nil"/>
              <w:left w:val="single" w:sz="4" w:space="0" w:color="000000"/>
              <w:bottom w:val="nil"/>
              <w:right w:val="single" w:sz="4" w:space="0" w:color="000000"/>
            </w:tcBorders>
          </w:tcPr>
          <w:p w14:paraId="4D4FAE40" w14:textId="77777777" w:rsidR="00492E75" w:rsidRDefault="00000000">
            <w:pPr>
              <w:widowControl/>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控制</w:t>
            </w:r>
          </w:p>
        </w:tc>
        <w:tc>
          <w:tcPr>
            <w:tcW w:w="571" w:type="pct"/>
            <w:tcBorders>
              <w:top w:val="nil"/>
              <w:left w:val="single" w:sz="4" w:space="0" w:color="000000"/>
              <w:bottom w:val="nil"/>
              <w:right w:val="nil"/>
            </w:tcBorders>
          </w:tcPr>
          <w:p w14:paraId="04DCB674" w14:textId="77777777" w:rsidR="00492E75" w:rsidRDefault="00000000">
            <w:pPr>
              <w:widowControl/>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控制</w:t>
            </w:r>
          </w:p>
        </w:tc>
      </w:tr>
      <w:tr w:rsidR="00492E75" w14:paraId="5399AEAF" w14:textId="77777777">
        <w:trPr>
          <w:trHeight w:hRule="exact" w:val="317"/>
          <w:jc w:val="center"/>
        </w:trPr>
        <w:tc>
          <w:tcPr>
            <w:tcW w:w="944" w:type="pct"/>
            <w:tcBorders>
              <w:top w:val="nil"/>
              <w:left w:val="nil"/>
              <w:bottom w:val="nil"/>
              <w:right w:val="single" w:sz="4" w:space="0" w:color="000000"/>
            </w:tcBorders>
            <w:vAlign w:val="center"/>
          </w:tcPr>
          <w:p w14:paraId="79FB8484" w14:textId="77777777" w:rsidR="00492E75" w:rsidRDefault="00000000">
            <w:pPr>
              <w:spacing w:line="300" w:lineRule="exact"/>
              <w:jc w:val="center"/>
              <w:rPr>
                <w:rFonts w:ascii="Times New Roman" w:hAnsi="Times New Roman" w:cs="Times New Roman"/>
                <w:sz w:val="18"/>
                <w:szCs w:val="18"/>
              </w:rPr>
            </w:pPr>
            <w:r>
              <w:rPr>
                <w:rFonts w:ascii="Times New Roman" w:eastAsia="宋体" w:hAnsi="Times New Roman" w:cs="Times New Roman"/>
                <w:i/>
                <w:iCs/>
                <w:sz w:val="18"/>
                <w:szCs w:val="18"/>
                <w:lang w:bidi="ar"/>
              </w:rPr>
              <w:t>N</w:t>
            </w:r>
          </w:p>
        </w:tc>
        <w:tc>
          <w:tcPr>
            <w:tcW w:w="597" w:type="pct"/>
            <w:tcBorders>
              <w:top w:val="nil"/>
              <w:left w:val="single" w:sz="4" w:space="0" w:color="000000"/>
              <w:bottom w:val="nil"/>
              <w:right w:val="single" w:sz="4" w:space="0" w:color="000000"/>
            </w:tcBorders>
          </w:tcPr>
          <w:p w14:paraId="4117B09E"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842 662</w:t>
            </w:r>
          </w:p>
        </w:tc>
        <w:tc>
          <w:tcPr>
            <w:tcW w:w="1084" w:type="dxa"/>
            <w:tcBorders>
              <w:top w:val="nil"/>
              <w:left w:val="single" w:sz="4" w:space="0" w:color="000000"/>
              <w:bottom w:val="nil"/>
              <w:right w:val="single" w:sz="4" w:space="0" w:color="000000"/>
            </w:tcBorders>
          </w:tcPr>
          <w:p w14:paraId="44DF7032" w14:textId="77777777" w:rsidR="00492E75" w:rsidRDefault="00000000">
            <w:pPr>
              <w:spacing w:line="300" w:lineRule="exact"/>
              <w:jc w:val="center"/>
              <w:rPr>
                <w:rStyle w:val="fontstyle01"/>
                <w:rFonts w:ascii="Times New Roman" w:hAnsi="Times New Roman" w:cs="Times New Roman" w:hint="default"/>
                <w:sz w:val="18"/>
                <w:szCs w:val="18"/>
                <w:lang w:bidi="ar"/>
              </w:rPr>
            </w:pPr>
            <w:r>
              <w:rPr>
                <w:rStyle w:val="fontstyle01"/>
                <w:rFonts w:ascii="Times New Roman" w:hAnsi="Times New Roman" w:cs="Times New Roman" w:hint="default"/>
                <w:sz w:val="18"/>
                <w:szCs w:val="18"/>
                <w:lang w:bidi="ar"/>
              </w:rPr>
              <w:t>128,755</w:t>
            </w:r>
          </w:p>
        </w:tc>
        <w:tc>
          <w:tcPr>
            <w:tcW w:w="570" w:type="pct"/>
            <w:tcBorders>
              <w:top w:val="nil"/>
              <w:left w:val="single" w:sz="4" w:space="0" w:color="000000"/>
              <w:bottom w:val="nil"/>
              <w:right w:val="single" w:sz="4" w:space="0" w:color="000000"/>
            </w:tcBorders>
          </w:tcPr>
          <w:p w14:paraId="4ADFFCFD"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652 699</w:t>
            </w:r>
          </w:p>
        </w:tc>
        <w:tc>
          <w:tcPr>
            <w:tcW w:w="566" w:type="pct"/>
            <w:tcBorders>
              <w:top w:val="nil"/>
              <w:left w:val="single" w:sz="4" w:space="0" w:color="000000"/>
              <w:bottom w:val="nil"/>
              <w:right w:val="single" w:sz="4" w:space="0" w:color="000000"/>
            </w:tcBorders>
          </w:tcPr>
          <w:p w14:paraId="0DF9530D" w14:textId="77777777" w:rsidR="00492E75" w:rsidRDefault="00000000">
            <w:pPr>
              <w:widowControl/>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447 694</w:t>
            </w:r>
          </w:p>
        </w:tc>
        <w:tc>
          <w:tcPr>
            <w:tcW w:w="570" w:type="pct"/>
            <w:tcBorders>
              <w:top w:val="nil"/>
              <w:left w:val="single" w:sz="4" w:space="0" w:color="000000"/>
              <w:bottom w:val="nil"/>
              <w:right w:val="single" w:sz="4" w:space="0" w:color="000000"/>
            </w:tcBorders>
          </w:tcPr>
          <w:p w14:paraId="30F3C4BC"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473 384</w:t>
            </w:r>
          </w:p>
        </w:tc>
        <w:tc>
          <w:tcPr>
            <w:tcW w:w="570" w:type="pct"/>
            <w:tcBorders>
              <w:top w:val="nil"/>
              <w:left w:val="single" w:sz="4" w:space="0" w:color="000000"/>
              <w:bottom w:val="nil"/>
              <w:right w:val="single" w:sz="4" w:space="0" w:color="000000"/>
            </w:tcBorders>
          </w:tcPr>
          <w:p w14:paraId="12CF1DD1"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725 059</w:t>
            </w:r>
          </w:p>
        </w:tc>
        <w:tc>
          <w:tcPr>
            <w:tcW w:w="571" w:type="pct"/>
            <w:tcBorders>
              <w:top w:val="nil"/>
              <w:left w:val="single" w:sz="4" w:space="0" w:color="000000"/>
              <w:bottom w:val="nil"/>
              <w:right w:val="nil"/>
            </w:tcBorders>
          </w:tcPr>
          <w:p w14:paraId="2EB79346"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312 871</w:t>
            </w:r>
          </w:p>
        </w:tc>
      </w:tr>
      <w:tr w:rsidR="00492E75" w14:paraId="6AEAE8D9" w14:textId="77777777">
        <w:trPr>
          <w:trHeight w:hRule="exact" w:val="317"/>
          <w:jc w:val="center"/>
        </w:trPr>
        <w:tc>
          <w:tcPr>
            <w:tcW w:w="944" w:type="pct"/>
            <w:tcBorders>
              <w:top w:val="nil"/>
              <w:left w:val="nil"/>
              <w:bottom w:val="single" w:sz="8" w:space="0" w:color="000000"/>
              <w:right w:val="single" w:sz="4" w:space="0" w:color="000000"/>
            </w:tcBorders>
            <w:vAlign w:val="center"/>
          </w:tcPr>
          <w:p w14:paraId="49CF49A3" w14:textId="77777777" w:rsidR="00492E75" w:rsidRDefault="00000000">
            <w:pPr>
              <w:spacing w:line="300" w:lineRule="exact"/>
              <w:jc w:val="center"/>
              <w:rPr>
                <w:rFonts w:ascii="Times New Roman" w:hAnsi="Times New Roman" w:cs="Times New Roman"/>
                <w:sz w:val="18"/>
                <w:szCs w:val="18"/>
              </w:rPr>
            </w:pPr>
            <w:r>
              <w:rPr>
                <w:rFonts w:ascii="Times New Roman" w:eastAsia="宋体" w:hAnsi="Times New Roman" w:cs="Times New Roman"/>
                <w:i/>
                <w:iCs/>
                <w:sz w:val="18"/>
                <w:szCs w:val="18"/>
                <w:lang w:bidi="ar"/>
              </w:rPr>
              <w:t>R</w:t>
            </w:r>
            <w:r>
              <w:rPr>
                <w:rFonts w:ascii="Times New Roman" w:eastAsia="宋体" w:hAnsi="Times New Roman" w:cs="Times New Roman"/>
                <w:i/>
                <w:iCs/>
                <w:sz w:val="18"/>
                <w:szCs w:val="18"/>
                <w:vertAlign w:val="superscript"/>
                <w:lang w:bidi="ar"/>
              </w:rPr>
              <w:t>2</w:t>
            </w:r>
          </w:p>
        </w:tc>
        <w:tc>
          <w:tcPr>
            <w:tcW w:w="597" w:type="pct"/>
            <w:tcBorders>
              <w:top w:val="nil"/>
              <w:left w:val="single" w:sz="4" w:space="0" w:color="000000"/>
              <w:bottom w:val="single" w:sz="8" w:space="0" w:color="000000"/>
              <w:right w:val="single" w:sz="4" w:space="0" w:color="000000"/>
            </w:tcBorders>
          </w:tcPr>
          <w:p w14:paraId="3048D8CB"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0.6960</w:t>
            </w:r>
          </w:p>
        </w:tc>
        <w:tc>
          <w:tcPr>
            <w:tcW w:w="1084" w:type="dxa"/>
            <w:tcBorders>
              <w:top w:val="nil"/>
              <w:left w:val="single" w:sz="4" w:space="0" w:color="000000"/>
              <w:bottom w:val="single" w:sz="8" w:space="0" w:color="000000"/>
              <w:right w:val="single" w:sz="4" w:space="0" w:color="000000"/>
            </w:tcBorders>
          </w:tcPr>
          <w:p w14:paraId="75B1B0C5" w14:textId="77777777" w:rsidR="00492E75" w:rsidRDefault="00000000">
            <w:pPr>
              <w:spacing w:line="300" w:lineRule="exact"/>
              <w:jc w:val="center"/>
              <w:rPr>
                <w:rStyle w:val="fontstyle01"/>
                <w:rFonts w:ascii="Times New Roman" w:hAnsi="Times New Roman" w:cs="Times New Roman" w:hint="default"/>
                <w:sz w:val="18"/>
                <w:szCs w:val="18"/>
                <w:lang w:bidi="ar"/>
              </w:rPr>
            </w:pPr>
            <w:r>
              <w:rPr>
                <w:rStyle w:val="fontstyle01"/>
                <w:rFonts w:ascii="Times New Roman" w:hAnsi="Times New Roman" w:cs="Times New Roman" w:hint="default"/>
                <w:sz w:val="18"/>
                <w:szCs w:val="18"/>
                <w:lang w:bidi="ar"/>
              </w:rPr>
              <w:t>0.7141</w:t>
            </w:r>
          </w:p>
        </w:tc>
        <w:tc>
          <w:tcPr>
            <w:tcW w:w="570" w:type="pct"/>
            <w:tcBorders>
              <w:top w:val="nil"/>
              <w:left w:val="single" w:sz="4" w:space="0" w:color="000000"/>
              <w:bottom w:val="single" w:sz="8" w:space="0" w:color="000000"/>
              <w:right w:val="single" w:sz="4" w:space="0" w:color="000000"/>
            </w:tcBorders>
          </w:tcPr>
          <w:p w14:paraId="3CD76B47"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0.7026</w:t>
            </w:r>
          </w:p>
        </w:tc>
        <w:tc>
          <w:tcPr>
            <w:tcW w:w="566" w:type="pct"/>
            <w:tcBorders>
              <w:top w:val="nil"/>
              <w:left w:val="single" w:sz="4" w:space="0" w:color="000000"/>
              <w:bottom w:val="single" w:sz="8" w:space="0" w:color="000000"/>
              <w:right w:val="single" w:sz="4" w:space="0" w:color="000000"/>
            </w:tcBorders>
          </w:tcPr>
          <w:p w14:paraId="2F3B6A6C" w14:textId="77777777" w:rsidR="00492E75" w:rsidRDefault="00000000">
            <w:pPr>
              <w:widowControl/>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0.7098</w:t>
            </w:r>
          </w:p>
        </w:tc>
        <w:tc>
          <w:tcPr>
            <w:tcW w:w="570" w:type="pct"/>
            <w:tcBorders>
              <w:top w:val="nil"/>
              <w:left w:val="single" w:sz="4" w:space="0" w:color="000000"/>
              <w:bottom w:val="single" w:sz="8" w:space="0" w:color="000000"/>
              <w:right w:val="single" w:sz="4" w:space="0" w:color="000000"/>
            </w:tcBorders>
          </w:tcPr>
          <w:p w14:paraId="156E6CBB"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0.8234</w:t>
            </w:r>
          </w:p>
        </w:tc>
        <w:tc>
          <w:tcPr>
            <w:tcW w:w="570" w:type="pct"/>
            <w:tcBorders>
              <w:top w:val="nil"/>
              <w:left w:val="single" w:sz="4" w:space="0" w:color="000000"/>
              <w:bottom w:val="single" w:sz="8" w:space="0" w:color="000000"/>
              <w:right w:val="single" w:sz="4" w:space="0" w:color="000000"/>
            </w:tcBorders>
          </w:tcPr>
          <w:p w14:paraId="484DFDF3"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0.6971</w:t>
            </w:r>
          </w:p>
        </w:tc>
        <w:tc>
          <w:tcPr>
            <w:tcW w:w="571" w:type="pct"/>
            <w:tcBorders>
              <w:top w:val="nil"/>
              <w:left w:val="single" w:sz="4" w:space="0" w:color="000000"/>
              <w:bottom w:val="single" w:sz="8" w:space="0" w:color="000000"/>
              <w:right w:val="nil"/>
            </w:tcBorders>
          </w:tcPr>
          <w:p w14:paraId="73144012"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0.8863</w:t>
            </w:r>
          </w:p>
        </w:tc>
      </w:tr>
    </w:tbl>
    <w:p w14:paraId="50F3C5D7" w14:textId="77777777" w:rsidR="00492E75" w:rsidRDefault="00000000">
      <w:pPr>
        <w:pStyle w:val="a8"/>
        <w:widowControl/>
        <w:spacing w:after="156"/>
        <w:rPr>
          <w:rFonts w:hint="eastAsia"/>
          <w:sz w:val="18"/>
          <w:szCs w:val="18"/>
        </w:rPr>
      </w:pPr>
      <w:r>
        <w:rPr>
          <w:rFonts w:hAnsi="Times New Roman"/>
          <w:sz w:val="18"/>
          <w:szCs w:val="18"/>
        </w:rPr>
        <w:t>注：</w:t>
      </w:r>
      <w:r>
        <w:rPr>
          <w:rFonts w:hAnsi="Times New Roman"/>
          <w:sz w:val="18"/>
          <w:szCs w:val="18"/>
          <w:vertAlign w:val="superscript"/>
        </w:rPr>
        <w:t>*</w:t>
      </w:r>
      <w:r>
        <w:rPr>
          <w:rFonts w:hAnsi="Times New Roman"/>
          <w:sz w:val="18"/>
          <w:szCs w:val="18"/>
        </w:rPr>
        <w:t>，</w:t>
      </w:r>
      <w:r>
        <w:rPr>
          <w:rFonts w:hAnsi="Times New Roman"/>
          <w:sz w:val="18"/>
          <w:szCs w:val="18"/>
          <w:vertAlign w:val="superscript"/>
        </w:rPr>
        <w:t>**</w:t>
      </w:r>
      <w:r>
        <w:rPr>
          <w:rFonts w:hAnsi="Times New Roman"/>
          <w:sz w:val="18"/>
          <w:szCs w:val="18"/>
        </w:rPr>
        <w:t>，</w:t>
      </w:r>
      <w:r>
        <w:rPr>
          <w:rFonts w:hAnsi="Times New Roman"/>
          <w:sz w:val="18"/>
          <w:szCs w:val="18"/>
          <w:vertAlign w:val="superscript"/>
        </w:rPr>
        <w:t>***</w:t>
      </w:r>
      <w:r>
        <w:rPr>
          <w:rFonts w:hAnsi="Times New Roman"/>
          <w:sz w:val="18"/>
          <w:szCs w:val="18"/>
        </w:rPr>
        <w:t>分别表示在</w:t>
      </w:r>
      <w:r>
        <w:rPr>
          <w:rFonts w:hAnsi="Times New Roman"/>
          <w:sz w:val="18"/>
          <w:szCs w:val="18"/>
        </w:rPr>
        <w:t>10%</w:t>
      </w:r>
      <w:r>
        <w:rPr>
          <w:rFonts w:hAnsi="Times New Roman"/>
          <w:sz w:val="18"/>
          <w:szCs w:val="18"/>
        </w:rPr>
        <w:t>，</w:t>
      </w:r>
      <w:r>
        <w:rPr>
          <w:rFonts w:hAnsi="Times New Roman"/>
          <w:sz w:val="18"/>
          <w:szCs w:val="18"/>
        </w:rPr>
        <w:t>5%</w:t>
      </w:r>
      <w:r>
        <w:rPr>
          <w:rFonts w:hAnsi="Times New Roman"/>
          <w:sz w:val="18"/>
          <w:szCs w:val="18"/>
        </w:rPr>
        <w:t>和</w:t>
      </w:r>
      <w:r>
        <w:rPr>
          <w:rFonts w:hAnsi="Times New Roman"/>
          <w:sz w:val="18"/>
          <w:szCs w:val="18"/>
        </w:rPr>
        <w:t>1%</w:t>
      </w:r>
      <w:r>
        <w:rPr>
          <w:rFonts w:hAnsi="Times New Roman"/>
          <w:sz w:val="18"/>
          <w:szCs w:val="18"/>
        </w:rPr>
        <w:t>水平下显著。</w:t>
      </w:r>
      <w:bookmarkEnd w:id="16"/>
    </w:p>
    <w:p w14:paraId="32F9B06F" w14:textId="77777777" w:rsidR="00492E75" w:rsidRDefault="00000000">
      <w:pPr>
        <w:pStyle w:val="a7"/>
        <w:widowControl/>
        <w:ind w:firstLine="420"/>
      </w:pPr>
      <w:bookmarkStart w:id="17" w:name="正文段落_82"/>
      <w:r>
        <w:t>5.</w:t>
      </w:r>
      <w:r>
        <w:rPr>
          <w:rFonts w:cs="宋体" w:hint="eastAsia"/>
        </w:rPr>
        <w:t>更换变量。考虑到无论是以外卖配送站点是否进驻，还是以新增站点数量作为核心解释变量，均难以反映外卖站点规模差异可能带来的影响，表</w:t>
      </w:r>
      <w:r>
        <w:t>4</w:t>
      </w:r>
      <w:r>
        <w:rPr>
          <w:rFonts w:cs="宋体" w:hint="eastAsia"/>
        </w:rPr>
        <w:t>列（</w:t>
      </w:r>
      <w:r>
        <w:t>1</w:t>
      </w:r>
      <w:r>
        <w:rPr>
          <w:rFonts w:cs="宋体" w:hint="eastAsia"/>
        </w:rPr>
        <w:t>）进一步采用城市外卖配送站点参保人数年增量（与数字经济新业态系数构建交互项）作为核心解释变量进行回归，以刻画</w:t>
      </w:r>
      <w:r>
        <w:rPr>
          <w:rFonts w:cs="宋体" w:hint="eastAsia"/>
        </w:rPr>
        <w:lastRenderedPageBreak/>
        <w:t>外卖站点扩张规模的变化。回归结果显示，在替换核心解释变量后，主要结论保持一致。此外，考虑到市民化意愿本身具有一定的主观性，进一步更换被解释变量进行检验。尽管在基准回归中已控制商品房价格等居住因素，但农业转移人口在城市中的居住方式主要以租住为主，租房负担更能直接反映其真实居住状况和经济压力。基于此，利用</w:t>
      </w:r>
      <w:r>
        <w:rPr>
          <w:i/>
          <w:iCs/>
        </w:rPr>
        <w:t>CMDS</w:t>
      </w:r>
      <w:r>
        <w:rPr>
          <w:rFonts w:cs="宋体" w:hint="eastAsia"/>
        </w:rPr>
        <w:t>调查问卷中受访者的房屋租金与收入信息，构建农业转移人口居住负担变量（房租支出</w:t>
      </w:r>
      <w:r>
        <w:t>/</w:t>
      </w:r>
      <w:r>
        <w:rPr>
          <w:rFonts w:cs="宋体" w:hint="eastAsia"/>
        </w:rPr>
        <w:t>收入）表征农业转移人口在城市中的实际居住压力，从而更好反映其在居住决策和生活安排中的现实约束。表</w:t>
      </w:r>
      <w:r>
        <w:t>4</w:t>
      </w:r>
      <w:r>
        <w:rPr>
          <w:rFonts w:cs="宋体" w:hint="eastAsia"/>
        </w:rPr>
        <w:t>列（</w:t>
      </w:r>
      <w:r>
        <w:t>2</w:t>
      </w:r>
      <w:r>
        <w:rPr>
          <w:rFonts w:cs="宋体" w:hint="eastAsia"/>
        </w:rPr>
        <w:t>）显示，更换被解释变量后的回归结果依然稳健，外卖平台的进驻与发展显著降低了农业转移人口的居住负担（约</w:t>
      </w:r>
      <w:r>
        <w:t>2.15%</w:t>
      </w:r>
      <w:r>
        <w:rPr>
          <w:rFonts w:cs="宋体" w:hint="eastAsia"/>
        </w:rPr>
        <w:t>），表明新经济业态通过改善就业和收入状况，有助于缓解农业转移人口在城市中的居住压力，进而提高农业转移人口市民化医院，核心结论较为稳健。</w:t>
      </w:r>
      <w:bookmarkEnd w:id="17"/>
    </w:p>
    <w:p w14:paraId="2FF2584F" w14:textId="77777777" w:rsidR="00492E75" w:rsidRDefault="00000000">
      <w:pPr>
        <w:pStyle w:val="a7"/>
        <w:widowControl/>
        <w:ind w:firstLine="420"/>
      </w:pPr>
      <w:bookmarkStart w:id="18" w:name="正文段落_怀疑_83"/>
      <w:r>
        <w:t>6.</w:t>
      </w:r>
      <w:r>
        <w:rPr>
          <w:rFonts w:cs="宋体" w:hint="eastAsia"/>
        </w:rPr>
        <w:t>控制混淆效应。为进一步排除其他数字经济新业态发展造成的混淆影响干扰，本文将网约车平台的进驻情况（即城市层面网约车是否进驻）纳入模型作为控制变量进行扩展分析。结果如表</w:t>
      </w:r>
      <w:r>
        <w:t>4</w:t>
      </w:r>
      <w:r>
        <w:rPr>
          <w:rFonts w:cs="宋体" w:hint="eastAsia"/>
        </w:rPr>
        <w:t>列（</w:t>
      </w:r>
      <w:r>
        <w:t>3</w:t>
      </w:r>
      <w:r>
        <w:rPr>
          <w:rFonts w:cs="宋体" w:hint="eastAsia"/>
        </w:rPr>
        <w:t>）所示，加入该控制该变量后，外卖平台进驻对农业转移人口市民化意愿仍有显著的正向影响，且估计系数与基准回归差别不大，表明本文基准回归结果具有较好的稳健性。此外，本部分进一步地将网约车的进驻情况作为核心解释变量进行回归，结果如列（</w:t>
      </w:r>
      <w:r>
        <w:t>4</w:t>
      </w:r>
      <w:r>
        <w:rPr>
          <w:rFonts w:cs="宋体" w:hint="eastAsia"/>
        </w:rPr>
        <w:t>）显示，网约车的进驻对农业转移人口市民化意愿的影响未通过</w:t>
      </w:r>
      <w:r>
        <w:t>10%</w:t>
      </w:r>
      <w:r>
        <w:rPr>
          <w:rFonts w:cs="宋体" w:hint="eastAsia"/>
        </w:rPr>
        <w:t>水平的统计性检验，在一定程度上排除了基准回归混淆的可能性。</w:t>
      </w:r>
      <w:bookmarkEnd w:id="18"/>
    </w:p>
    <w:p w14:paraId="7F329B33" w14:textId="77777777" w:rsidR="00492E75" w:rsidRDefault="00000000">
      <w:pPr>
        <w:pStyle w:val="a7"/>
        <w:widowControl/>
        <w:ind w:firstLine="420"/>
      </w:pPr>
      <w:bookmarkStart w:id="19" w:name="正文段落_怀疑_84"/>
      <w:r>
        <w:t>7.</w:t>
      </w:r>
      <w:r>
        <w:rPr>
          <w:rFonts w:cs="宋体" w:hint="eastAsia"/>
        </w:rPr>
        <w:t>更新数据检验。受数据可得性限制，基准回归部分采用了</w:t>
      </w:r>
      <w:r>
        <w:t>2012~2018</w:t>
      </w:r>
      <w:r>
        <w:rPr>
          <w:rFonts w:cs="宋体" w:hint="eastAsia"/>
        </w:rPr>
        <w:t>年中国流动人口动态监测调查数据。为兼顾分析结果的时效性并考察近年来的最新变化，本部分进一步利用</w:t>
      </w:r>
      <w:r>
        <w:t>CGSS2021</w:t>
      </w:r>
      <w:r>
        <w:rPr>
          <w:rFonts w:cs="宋体" w:hint="eastAsia"/>
        </w:rPr>
        <w:t>数据进行了稳健性检验。被解释变量为农业转移人口的市民化状况。依据</w:t>
      </w:r>
      <w:r>
        <w:t>CGSS2021</w:t>
      </w:r>
      <w:r>
        <w:rPr>
          <w:rFonts w:cs="宋体" w:hint="eastAsia"/>
        </w:rPr>
        <w:t>问卷中“您目前的户口登记状况是什么”这一问题进行定义：若受访者选择“农业户口”，则记为</w:t>
      </w:r>
      <w:r>
        <w:t>0</w:t>
      </w:r>
      <w:r>
        <w:rPr>
          <w:rFonts w:cs="宋体" w:hint="eastAsia"/>
        </w:rPr>
        <w:t>，表示尚未实现市民化；若选择“居民户口（以前是农业户口）”或“非农业户口（出生后转户口）”，则记为</w:t>
      </w:r>
      <w:r>
        <w:t>1</w:t>
      </w:r>
      <w:r>
        <w:rPr>
          <w:rFonts w:cs="宋体" w:hint="eastAsia"/>
        </w:rPr>
        <w:t>，表示已完成市民化。核心解释变量为数字经济新业态，以各省累计新增外卖站点数量衡量，并采用</w:t>
      </w:r>
      <w:r>
        <w:t>OLS</w:t>
      </w:r>
      <w:r>
        <w:rPr>
          <w:rFonts w:cs="宋体" w:hint="eastAsia"/>
        </w:rPr>
        <w:t>方法进行估计（表</w:t>
      </w:r>
      <w:r>
        <w:t>4</w:t>
      </w:r>
      <w:r>
        <w:rPr>
          <w:rFonts w:cs="宋体" w:hint="eastAsia"/>
        </w:rPr>
        <w:t>列</w:t>
      </w:r>
      <w:r>
        <w:t>5</w:t>
      </w:r>
      <w:r>
        <w:rPr>
          <w:rFonts w:cs="宋体" w:hint="eastAsia"/>
        </w:rPr>
        <w:t>）。实证结果表明，即便在更接近当前时期的数据样本下，数字经济新业态的扩张仍对农业转移人口的市民化具有显著正向影响，不仅验证了基准回归的稳健性，也说明数字经济新业态在近年来仍然持续发挥着提高农业转移人口市民化意愿的重要作用。</w:t>
      </w:r>
      <w:bookmarkEnd w:id="19"/>
    </w:p>
    <w:p w14:paraId="5378DED3" w14:textId="5D43C4D4" w:rsidR="00492E75" w:rsidRDefault="00000000">
      <w:pPr>
        <w:pStyle w:val="a7"/>
        <w:widowControl/>
        <w:ind w:firstLine="420"/>
      </w:pPr>
      <w:r>
        <w:t>8.</w:t>
      </w:r>
      <w:r>
        <w:rPr>
          <w:rFonts w:cs="宋体" w:hint="eastAsia"/>
        </w:rPr>
        <w:t>异质性效应。考虑到多期双重差分模型在存在处理效应异质性时可能产生估计偏误，进一步对基准回归结果的稳健性进行检验。具体而言，参考</w:t>
      </w:r>
      <w:r>
        <w:t>Callaway</w:t>
      </w:r>
      <w:r w:rsidR="0019623B">
        <w:rPr>
          <w:rFonts w:hint="eastAsia"/>
        </w:rPr>
        <w:t>和</w:t>
      </w:r>
      <w:r>
        <w:t>Sant</w:t>
      </w:r>
      <w:r>
        <w:rPr>
          <w:rFonts w:cs="宋体" w:hint="eastAsia"/>
        </w:rPr>
        <w:t>（</w:t>
      </w:r>
      <w:r>
        <w:t>2021</w:t>
      </w:r>
      <w:r>
        <w:rPr>
          <w:rFonts w:cs="宋体" w:hint="eastAsia"/>
        </w:rPr>
        <w:t>）的方法，对不同处理时点下的分组平均处理效应进行估计，以缓解传统多期</w:t>
      </w:r>
      <w:r>
        <w:t>DID</w:t>
      </w:r>
      <w:r>
        <w:rPr>
          <w:rFonts w:cs="宋体" w:hint="eastAsia"/>
        </w:rPr>
        <w:t>在异质性处理效应情形下面临的潜在问题，其中需要指出的是，</w:t>
      </w:r>
      <w:r>
        <w:t>CSDID</w:t>
      </w:r>
      <w:r>
        <w:rPr>
          <w:rFonts w:cs="宋体" w:hint="eastAsia"/>
        </w:rPr>
        <w:t>需要在模型中纳入不随时间变化的控制变量，因此回归中只保留了性别、受教育程度、婚姻状况、户籍属性等控制变量。结果如表</w:t>
      </w:r>
      <w:r>
        <w:t>4</w:t>
      </w:r>
      <w:r>
        <w:rPr>
          <w:rFonts w:cs="宋体" w:hint="eastAsia"/>
        </w:rPr>
        <w:t>列（</w:t>
      </w:r>
      <w:r>
        <w:t>6</w:t>
      </w:r>
      <w:r>
        <w:rPr>
          <w:rFonts w:cs="宋体" w:hint="eastAsia"/>
        </w:rPr>
        <w:t>）所示，分组平均处理效应估计系数为正且在统计上显著，表明本文关于外卖站点进驻促进农业转移人口市民化意愿的结论在考虑处理效应异质性后依然成立。</w:t>
      </w:r>
    </w:p>
    <w:p w14:paraId="5F0922B0" w14:textId="77777777" w:rsidR="00492E75" w:rsidRDefault="00000000">
      <w:pPr>
        <w:pStyle w:val="aa"/>
        <w:spacing w:before="156"/>
      </w:pPr>
      <w:bookmarkStart w:id="20" w:name="中文表序_4"/>
      <w:bookmarkStart w:id="21" w:name="中文表题_8"/>
      <w:r>
        <w:rPr>
          <w:rFonts w:cs="黑体" w:hint="eastAsia"/>
        </w:rPr>
        <w:t>表</w:t>
      </w:r>
      <w:r>
        <w:t>4</w:t>
      </w:r>
      <w:bookmarkEnd w:id="20"/>
      <w:r>
        <w:rPr>
          <w:rFonts w:cs="黑体" w:hint="eastAsia"/>
        </w:rPr>
        <w:t>稳健性检验</w:t>
      </w:r>
      <w:bookmarkEnd w:id="21"/>
    </w:p>
    <w:tbl>
      <w:tblPr>
        <w:tblW w:w="5000" w:type="pct"/>
        <w:jc w:val="center"/>
        <w:tblLook w:val="04A0" w:firstRow="1" w:lastRow="0" w:firstColumn="1" w:lastColumn="0" w:noHBand="0" w:noVBand="1"/>
      </w:tblPr>
      <w:tblGrid>
        <w:gridCol w:w="1848"/>
        <w:gridCol w:w="1143"/>
        <w:gridCol w:w="1144"/>
        <w:gridCol w:w="1142"/>
        <w:gridCol w:w="1227"/>
        <w:gridCol w:w="1174"/>
        <w:gridCol w:w="1178"/>
      </w:tblGrid>
      <w:tr w:rsidR="00492E75" w14:paraId="33FCE21A" w14:textId="77777777">
        <w:trPr>
          <w:trHeight w:hRule="exact" w:val="317"/>
          <w:jc w:val="center"/>
        </w:trPr>
        <w:tc>
          <w:tcPr>
            <w:tcW w:w="1043" w:type="pct"/>
            <w:vMerge w:val="restart"/>
            <w:tcBorders>
              <w:top w:val="single" w:sz="8" w:space="0" w:color="000000"/>
              <w:left w:val="nil"/>
              <w:bottom w:val="single" w:sz="4" w:space="0" w:color="000000"/>
              <w:right w:val="single" w:sz="4" w:space="0" w:color="auto"/>
            </w:tcBorders>
            <w:vAlign w:val="center"/>
          </w:tcPr>
          <w:p w14:paraId="7C849233" w14:textId="77777777" w:rsidR="00492E75" w:rsidRDefault="00492E75">
            <w:pPr>
              <w:rPr>
                <w:rFonts w:ascii="Times New Roman" w:hAnsi="Times New Roman" w:cs="Times New Roman"/>
              </w:rPr>
            </w:pPr>
            <w:bookmarkStart w:id="22" w:name="中文表注_6"/>
          </w:p>
          <w:p w14:paraId="04E9ADAF"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变量</w:t>
            </w:r>
          </w:p>
        </w:tc>
        <w:tc>
          <w:tcPr>
            <w:tcW w:w="3957" w:type="pct"/>
            <w:gridSpan w:val="6"/>
            <w:tcBorders>
              <w:top w:val="single" w:sz="8" w:space="0" w:color="000000"/>
              <w:left w:val="single" w:sz="4" w:space="0" w:color="auto"/>
              <w:bottom w:val="single" w:sz="4" w:space="0" w:color="000000"/>
              <w:right w:val="nil"/>
            </w:tcBorders>
            <w:vAlign w:val="center"/>
          </w:tcPr>
          <w:p w14:paraId="13B8CF7E" w14:textId="77777777" w:rsidR="00492E75" w:rsidRDefault="00000000">
            <w:pPr>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被解释变量：市民化意愿</w:t>
            </w:r>
          </w:p>
        </w:tc>
      </w:tr>
      <w:tr w:rsidR="00492E75" w14:paraId="0A6D8BC9" w14:textId="77777777">
        <w:trPr>
          <w:trHeight w:hRule="exact" w:val="317"/>
          <w:jc w:val="center"/>
        </w:trPr>
        <w:tc>
          <w:tcPr>
            <w:tcW w:w="1043" w:type="pct"/>
            <w:vMerge/>
            <w:tcBorders>
              <w:top w:val="single" w:sz="8" w:space="0" w:color="000000"/>
              <w:left w:val="nil"/>
              <w:bottom w:val="single" w:sz="4" w:space="0" w:color="000000"/>
              <w:right w:val="single" w:sz="4" w:space="0" w:color="auto"/>
            </w:tcBorders>
            <w:vAlign w:val="center"/>
          </w:tcPr>
          <w:p w14:paraId="077AC44F" w14:textId="77777777" w:rsidR="00492E75" w:rsidRDefault="00492E75">
            <w:pPr>
              <w:rPr>
                <w:rFonts w:ascii="Times New Roman" w:hAnsi="Times New Roman" w:cs="Times New Roman"/>
                <w:sz w:val="20"/>
                <w:szCs w:val="20"/>
              </w:rPr>
            </w:pPr>
          </w:p>
        </w:tc>
        <w:tc>
          <w:tcPr>
            <w:tcW w:w="1291" w:type="pct"/>
            <w:gridSpan w:val="2"/>
            <w:tcBorders>
              <w:top w:val="single" w:sz="4" w:space="0" w:color="000000"/>
              <w:left w:val="single" w:sz="4" w:space="0" w:color="000000"/>
              <w:bottom w:val="single" w:sz="4" w:space="0" w:color="000000"/>
              <w:right w:val="single" w:sz="4" w:space="0" w:color="000000"/>
            </w:tcBorders>
            <w:vAlign w:val="center"/>
          </w:tcPr>
          <w:p w14:paraId="0BC9BB68"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更换变量</w:t>
            </w:r>
          </w:p>
        </w:tc>
        <w:tc>
          <w:tcPr>
            <w:tcW w:w="1338" w:type="pct"/>
            <w:gridSpan w:val="2"/>
            <w:tcBorders>
              <w:top w:val="single" w:sz="4" w:space="0" w:color="000000"/>
              <w:left w:val="single" w:sz="4" w:space="0" w:color="000000"/>
              <w:bottom w:val="single" w:sz="4" w:space="0" w:color="000000"/>
              <w:right w:val="nil"/>
            </w:tcBorders>
            <w:vAlign w:val="center"/>
          </w:tcPr>
          <w:p w14:paraId="55273ACE"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混淆效应</w:t>
            </w:r>
          </w:p>
        </w:tc>
        <w:tc>
          <w:tcPr>
            <w:tcW w:w="663" w:type="pct"/>
            <w:tcBorders>
              <w:top w:val="single" w:sz="4" w:space="0" w:color="000000"/>
              <w:left w:val="single" w:sz="4" w:space="0" w:color="000000"/>
              <w:bottom w:val="single" w:sz="4" w:space="0" w:color="000000"/>
              <w:right w:val="single" w:sz="4" w:space="0" w:color="auto"/>
            </w:tcBorders>
            <w:vAlign w:val="center"/>
          </w:tcPr>
          <w:p w14:paraId="5D07C940"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更新数据</w:t>
            </w:r>
          </w:p>
        </w:tc>
        <w:tc>
          <w:tcPr>
            <w:tcW w:w="665" w:type="pct"/>
            <w:tcBorders>
              <w:top w:val="nil"/>
              <w:left w:val="single" w:sz="4" w:space="0" w:color="auto"/>
              <w:bottom w:val="single" w:sz="4" w:space="0" w:color="auto"/>
              <w:right w:val="nil"/>
            </w:tcBorders>
          </w:tcPr>
          <w:p w14:paraId="0EC082FB"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异质性处理</w:t>
            </w:r>
          </w:p>
        </w:tc>
      </w:tr>
      <w:tr w:rsidR="00492E75" w14:paraId="032007AE" w14:textId="77777777">
        <w:trPr>
          <w:trHeight w:hRule="exact" w:val="317"/>
          <w:jc w:val="center"/>
        </w:trPr>
        <w:tc>
          <w:tcPr>
            <w:tcW w:w="1043" w:type="pct"/>
            <w:vMerge/>
            <w:tcBorders>
              <w:top w:val="single" w:sz="8" w:space="0" w:color="000000"/>
              <w:left w:val="nil"/>
              <w:bottom w:val="single" w:sz="4" w:space="0" w:color="000000"/>
              <w:right w:val="single" w:sz="4" w:space="0" w:color="auto"/>
            </w:tcBorders>
            <w:vAlign w:val="center"/>
          </w:tcPr>
          <w:p w14:paraId="27986521" w14:textId="77777777" w:rsidR="00492E75" w:rsidRDefault="00492E75">
            <w:pPr>
              <w:rPr>
                <w:rFonts w:ascii="Times New Roman" w:hAnsi="Times New Roman" w:cs="Times New Roman"/>
                <w:sz w:val="20"/>
                <w:szCs w:val="20"/>
              </w:rPr>
            </w:pPr>
          </w:p>
        </w:tc>
        <w:tc>
          <w:tcPr>
            <w:tcW w:w="645" w:type="pct"/>
            <w:tcBorders>
              <w:top w:val="single" w:sz="4" w:space="0" w:color="auto"/>
              <w:left w:val="single" w:sz="4" w:space="0" w:color="000000"/>
              <w:bottom w:val="single" w:sz="4" w:space="0" w:color="000000"/>
              <w:right w:val="nil"/>
            </w:tcBorders>
            <w:vAlign w:val="center"/>
          </w:tcPr>
          <w:p w14:paraId="1C6C64ED"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w:t>
            </w:r>
            <w:r>
              <w:rPr>
                <w:rStyle w:val="fontstyle01"/>
                <w:rFonts w:ascii="Times New Roman" w:hAnsi="Times New Roman" w:cs="Times New Roman" w:hint="default"/>
                <w:sz w:val="18"/>
                <w:szCs w:val="18"/>
                <w:lang w:bidi="ar"/>
              </w:rPr>
              <w:t>1</w:t>
            </w:r>
            <w:r>
              <w:rPr>
                <w:rStyle w:val="fontstyle01"/>
                <w:rFonts w:ascii="Times New Roman" w:hAnsi="Times New Roman" w:cs="Times New Roman" w:hint="default"/>
                <w:sz w:val="18"/>
                <w:szCs w:val="18"/>
                <w:lang w:bidi="ar"/>
              </w:rPr>
              <w:t>）</w:t>
            </w:r>
          </w:p>
        </w:tc>
        <w:tc>
          <w:tcPr>
            <w:tcW w:w="646" w:type="pct"/>
            <w:tcBorders>
              <w:top w:val="single" w:sz="4" w:space="0" w:color="auto"/>
              <w:left w:val="nil"/>
              <w:bottom w:val="single" w:sz="4" w:space="0" w:color="000000"/>
              <w:right w:val="single" w:sz="4" w:space="0" w:color="000000"/>
            </w:tcBorders>
            <w:vAlign w:val="center"/>
          </w:tcPr>
          <w:p w14:paraId="0568ABF2"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w:t>
            </w:r>
            <w:r>
              <w:rPr>
                <w:rStyle w:val="fontstyle01"/>
                <w:rFonts w:ascii="Times New Roman" w:hAnsi="Times New Roman" w:cs="Times New Roman" w:hint="default"/>
                <w:sz w:val="18"/>
                <w:szCs w:val="18"/>
                <w:lang w:bidi="ar"/>
              </w:rPr>
              <w:t>2</w:t>
            </w:r>
            <w:r>
              <w:rPr>
                <w:rStyle w:val="fontstyle01"/>
                <w:rFonts w:ascii="Times New Roman" w:hAnsi="Times New Roman" w:cs="Times New Roman" w:hint="default"/>
                <w:sz w:val="18"/>
                <w:szCs w:val="18"/>
                <w:lang w:bidi="ar"/>
              </w:rPr>
              <w:t>）</w:t>
            </w:r>
          </w:p>
        </w:tc>
        <w:tc>
          <w:tcPr>
            <w:tcW w:w="645" w:type="pct"/>
            <w:tcBorders>
              <w:top w:val="single" w:sz="4" w:space="0" w:color="auto"/>
              <w:left w:val="single" w:sz="4" w:space="0" w:color="000000"/>
              <w:bottom w:val="single" w:sz="4" w:space="0" w:color="000000"/>
              <w:right w:val="nil"/>
            </w:tcBorders>
            <w:vAlign w:val="center"/>
          </w:tcPr>
          <w:p w14:paraId="1B992035"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w:t>
            </w:r>
            <w:r>
              <w:rPr>
                <w:rStyle w:val="fontstyle01"/>
                <w:rFonts w:ascii="Times New Roman" w:hAnsi="Times New Roman" w:cs="Times New Roman" w:hint="default"/>
                <w:sz w:val="18"/>
                <w:szCs w:val="18"/>
                <w:lang w:bidi="ar"/>
              </w:rPr>
              <w:t>3</w:t>
            </w:r>
            <w:r>
              <w:rPr>
                <w:rStyle w:val="fontstyle01"/>
                <w:rFonts w:ascii="Times New Roman" w:hAnsi="Times New Roman" w:cs="Times New Roman" w:hint="default"/>
                <w:sz w:val="18"/>
                <w:szCs w:val="18"/>
                <w:lang w:bidi="ar"/>
              </w:rPr>
              <w:t>）</w:t>
            </w:r>
          </w:p>
        </w:tc>
        <w:tc>
          <w:tcPr>
            <w:tcW w:w="693" w:type="pct"/>
            <w:tcBorders>
              <w:top w:val="single" w:sz="4" w:space="0" w:color="auto"/>
              <w:left w:val="single" w:sz="4" w:space="0" w:color="000000"/>
              <w:bottom w:val="single" w:sz="4" w:space="0" w:color="000000"/>
              <w:right w:val="nil"/>
            </w:tcBorders>
            <w:vAlign w:val="center"/>
          </w:tcPr>
          <w:p w14:paraId="5C755B0F"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w:t>
            </w:r>
            <w:r>
              <w:rPr>
                <w:rStyle w:val="fontstyle01"/>
                <w:rFonts w:ascii="Times New Roman" w:hAnsi="Times New Roman" w:cs="Times New Roman" w:hint="default"/>
                <w:sz w:val="18"/>
                <w:szCs w:val="18"/>
                <w:lang w:bidi="ar"/>
              </w:rPr>
              <w:t>4</w:t>
            </w:r>
            <w:r>
              <w:rPr>
                <w:rStyle w:val="fontstyle01"/>
                <w:rFonts w:ascii="Times New Roman" w:hAnsi="Times New Roman" w:cs="Times New Roman" w:hint="default"/>
                <w:sz w:val="18"/>
                <w:szCs w:val="18"/>
                <w:lang w:bidi="ar"/>
              </w:rPr>
              <w:t>）</w:t>
            </w:r>
          </w:p>
        </w:tc>
        <w:tc>
          <w:tcPr>
            <w:tcW w:w="663" w:type="pct"/>
            <w:tcBorders>
              <w:top w:val="single" w:sz="4" w:space="0" w:color="auto"/>
              <w:left w:val="single" w:sz="4" w:space="0" w:color="000000"/>
              <w:bottom w:val="single" w:sz="4" w:space="0" w:color="000000"/>
              <w:right w:val="single" w:sz="4" w:space="0" w:color="auto"/>
            </w:tcBorders>
            <w:vAlign w:val="center"/>
          </w:tcPr>
          <w:p w14:paraId="1D332512"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w:t>
            </w:r>
            <w:r>
              <w:rPr>
                <w:rStyle w:val="fontstyle01"/>
                <w:rFonts w:ascii="Times New Roman" w:hAnsi="Times New Roman" w:cs="Times New Roman" w:hint="default"/>
                <w:sz w:val="18"/>
                <w:szCs w:val="18"/>
                <w:lang w:bidi="ar"/>
              </w:rPr>
              <w:t>5</w:t>
            </w:r>
            <w:r>
              <w:rPr>
                <w:rStyle w:val="fontstyle01"/>
                <w:rFonts w:ascii="Times New Roman" w:hAnsi="Times New Roman" w:cs="Times New Roman" w:hint="default"/>
                <w:sz w:val="18"/>
                <w:szCs w:val="18"/>
                <w:lang w:bidi="ar"/>
              </w:rPr>
              <w:t>）</w:t>
            </w:r>
          </w:p>
        </w:tc>
        <w:tc>
          <w:tcPr>
            <w:tcW w:w="665" w:type="pct"/>
            <w:tcBorders>
              <w:top w:val="single" w:sz="4" w:space="0" w:color="auto"/>
              <w:left w:val="single" w:sz="4" w:space="0" w:color="auto"/>
              <w:bottom w:val="single" w:sz="4" w:space="0" w:color="auto"/>
              <w:right w:val="nil"/>
            </w:tcBorders>
          </w:tcPr>
          <w:p w14:paraId="4E21D61D"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w:t>
            </w:r>
            <w:r>
              <w:rPr>
                <w:rStyle w:val="fontstyle01"/>
                <w:rFonts w:ascii="Times New Roman" w:hAnsi="Times New Roman" w:cs="Times New Roman" w:hint="default"/>
                <w:sz w:val="18"/>
                <w:szCs w:val="18"/>
                <w:lang w:bidi="ar"/>
              </w:rPr>
              <w:t>6</w:t>
            </w:r>
            <w:r>
              <w:rPr>
                <w:rStyle w:val="fontstyle01"/>
                <w:rFonts w:ascii="Times New Roman" w:hAnsi="Times New Roman" w:cs="Times New Roman" w:hint="default"/>
                <w:sz w:val="18"/>
                <w:szCs w:val="18"/>
                <w:lang w:bidi="ar"/>
              </w:rPr>
              <w:t>）</w:t>
            </w:r>
          </w:p>
        </w:tc>
      </w:tr>
      <w:tr w:rsidR="00492E75" w14:paraId="43CE3B83" w14:textId="77777777">
        <w:trPr>
          <w:trHeight w:hRule="exact" w:val="317"/>
          <w:jc w:val="center"/>
        </w:trPr>
        <w:tc>
          <w:tcPr>
            <w:tcW w:w="1043" w:type="pct"/>
            <w:vMerge w:val="restart"/>
            <w:tcBorders>
              <w:top w:val="single" w:sz="4" w:space="0" w:color="000000"/>
              <w:left w:val="nil"/>
              <w:bottom w:val="nil"/>
              <w:right w:val="single" w:sz="4" w:space="0" w:color="000000"/>
            </w:tcBorders>
            <w:vAlign w:val="center"/>
          </w:tcPr>
          <w:p w14:paraId="7ED35C53" w14:textId="77777777" w:rsidR="00492E75" w:rsidRDefault="00000000">
            <w:pPr>
              <w:spacing w:line="300" w:lineRule="exact"/>
              <w:jc w:val="center"/>
              <w:rPr>
                <w:rFonts w:ascii="Times New Roman" w:hAnsi="Times New Roman" w:cs="Times New Roman"/>
                <w:i/>
                <w:iCs/>
                <w:sz w:val="18"/>
                <w:szCs w:val="18"/>
              </w:rPr>
            </w:pPr>
            <w:r>
              <w:rPr>
                <w:rStyle w:val="fontstyle01"/>
                <w:rFonts w:ascii="Times New Roman" w:hAnsi="Times New Roman" w:cs="Times New Roman" w:hint="default"/>
                <w:sz w:val="18"/>
                <w:szCs w:val="18"/>
                <w:lang w:bidi="ar"/>
              </w:rPr>
              <w:t>数字经济新业态</w:t>
            </w:r>
          </w:p>
        </w:tc>
        <w:tc>
          <w:tcPr>
            <w:tcW w:w="645" w:type="pct"/>
            <w:tcBorders>
              <w:top w:val="single" w:sz="4" w:space="0" w:color="000000"/>
              <w:left w:val="single" w:sz="4" w:space="0" w:color="000000"/>
              <w:bottom w:val="nil"/>
              <w:right w:val="single" w:sz="4" w:space="0" w:color="000000"/>
            </w:tcBorders>
          </w:tcPr>
          <w:p w14:paraId="0D89CC40"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0.0086</w:t>
            </w:r>
            <w:r>
              <w:rPr>
                <w:rStyle w:val="fontstyle01"/>
                <w:rFonts w:ascii="Times New Roman" w:hAnsi="Times New Roman" w:cs="Times New Roman" w:hint="default"/>
                <w:sz w:val="18"/>
                <w:szCs w:val="18"/>
                <w:vertAlign w:val="superscript"/>
                <w:lang w:bidi="ar"/>
              </w:rPr>
              <w:t>**</w:t>
            </w:r>
          </w:p>
        </w:tc>
        <w:tc>
          <w:tcPr>
            <w:tcW w:w="646" w:type="pct"/>
            <w:tcBorders>
              <w:top w:val="single" w:sz="4" w:space="0" w:color="000000"/>
              <w:left w:val="single" w:sz="4" w:space="0" w:color="000000"/>
              <w:bottom w:val="nil"/>
              <w:right w:val="single" w:sz="4" w:space="0" w:color="000000"/>
            </w:tcBorders>
          </w:tcPr>
          <w:p w14:paraId="7A6D739C"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-0.0215</w:t>
            </w:r>
            <w:r>
              <w:rPr>
                <w:rStyle w:val="fontstyle01"/>
                <w:rFonts w:ascii="Times New Roman" w:hAnsi="Times New Roman" w:cs="Times New Roman" w:hint="default"/>
                <w:sz w:val="18"/>
                <w:szCs w:val="18"/>
                <w:vertAlign w:val="superscript"/>
                <w:lang w:bidi="ar"/>
              </w:rPr>
              <w:t>**</w:t>
            </w:r>
          </w:p>
        </w:tc>
        <w:tc>
          <w:tcPr>
            <w:tcW w:w="645" w:type="pct"/>
            <w:tcBorders>
              <w:top w:val="single" w:sz="4" w:space="0" w:color="000000"/>
              <w:left w:val="single" w:sz="4" w:space="0" w:color="000000"/>
              <w:bottom w:val="nil"/>
              <w:right w:val="nil"/>
            </w:tcBorders>
          </w:tcPr>
          <w:p w14:paraId="53F928FF"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0.0442</w:t>
            </w:r>
            <w:r>
              <w:rPr>
                <w:rStyle w:val="fontstyle01"/>
                <w:rFonts w:ascii="Times New Roman" w:hAnsi="Times New Roman" w:cs="Times New Roman" w:hint="default"/>
                <w:sz w:val="18"/>
                <w:szCs w:val="18"/>
                <w:vertAlign w:val="superscript"/>
                <w:lang w:bidi="ar"/>
              </w:rPr>
              <w:t>***</w:t>
            </w:r>
          </w:p>
        </w:tc>
        <w:tc>
          <w:tcPr>
            <w:tcW w:w="693" w:type="pct"/>
            <w:tcBorders>
              <w:top w:val="single" w:sz="4" w:space="0" w:color="auto"/>
              <w:left w:val="single" w:sz="4" w:space="0" w:color="000000"/>
              <w:bottom w:val="nil"/>
              <w:right w:val="nil"/>
            </w:tcBorders>
          </w:tcPr>
          <w:p w14:paraId="18A6AC42" w14:textId="77777777" w:rsidR="00492E75" w:rsidRDefault="00492E75">
            <w:pPr>
              <w:spacing w:line="300" w:lineRule="exact"/>
              <w:jc w:val="center"/>
              <w:rPr>
                <w:rFonts w:ascii="Times New Roman" w:hAnsi="Times New Roman" w:cs="Times New Roman"/>
                <w:sz w:val="18"/>
                <w:szCs w:val="18"/>
              </w:rPr>
            </w:pPr>
          </w:p>
        </w:tc>
        <w:tc>
          <w:tcPr>
            <w:tcW w:w="663" w:type="pct"/>
            <w:tcBorders>
              <w:top w:val="single" w:sz="4" w:space="0" w:color="auto"/>
              <w:left w:val="single" w:sz="4" w:space="0" w:color="000000"/>
              <w:bottom w:val="nil"/>
              <w:right w:val="single" w:sz="4" w:space="0" w:color="auto"/>
            </w:tcBorders>
          </w:tcPr>
          <w:p w14:paraId="4D2B2FDA"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0.0251</w:t>
            </w:r>
            <w:r>
              <w:rPr>
                <w:rStyle w:val="fontstyle01"/>
                <w:rFonts w:ascii="Times New Roman" w:hAnsi="Times New Roman" w:cs="Times New Roman" w:hint="default"/>
                <w:sz w:val="18"/>
                <w:szCs w:val="18"/>
                <w:vertAlign w:val="superscript"/>
                <w:lang w:bidi="ar"/>
              </w:rPr>
              <w:t>***</w:t>
            </w:r>
          </w:p>
        </w:tc>
        <w:tc>
          <w:tcPr>
            <w:tcW w:w="665" w:type="pct"/>
            <w:tcBorders>
              <w:top w:val="single" w:sz="4" w:space="0" w:color="auto"/>
              <w:left w:val="single" w:sz="4" w:space="0" w:color="auto"/>
              <w:bottom w:val="nil"/>
              <w:right w:val="nil"/>
            </w:tcBorders>
          </w:tcPr>
          <w:p w14:paraId="0CD789CD"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0.0189</w:t>
            </w:r>
            <w:r>
              <w:rPr>
                <w:rStyle w:val="fontstyle01"/>
                <w:rFonts w:ascii="Times New Roman" w:hAnsi="Times New Roman" w:cs="Times New Roman" w:hint="default"/>
                <w:sz w:val="18"/>
                <w:szCs w:val="18"/>
                <w:vertAlign w:val="superscript"/>
                <w:lang w:bidi="ar"/>
              </w:rPr>
              <w:t>***</w:t>
            </w:r>
          </w:p>
        </w:tc>
      </w:tr>
      <w:tr w:rsidR="00492E75" w14:paraId="56F090A2" w14:textId="77777777">
        <w:trPr>
          <w:trHeight w:hRule="exact" w:val="317"/>
          <w:jc w:val="center"/>
        </w:trPr>
        <w:tc>
          <w:tcPr>
            <w:tcW w:w="1043" w:type="pct"/>
            <w:vMerge/>
            <w:tcBorders>
              <w:top w:val="single" w:sz="4" w:space="0" w:color="000000"/>
              <w:left w:val="nil"/>
              <w:bottom w:val="nil"/>
              <w:right w:val="single" w:sz="4" w:space="0" w:color="000000"/>
            </w:tcBorders>
            <w:vAlign w:val="center"/>
          </w:tcPr>
          <w:p w14:paraId="59CDF9B7" w14:textId="77777777" w:rsidR="00492E75" w:rsidRDefault="00492E75">
            <w:pPr>
              <w:rPr>
                <w:rFonts w:ascii="Times New Roman" w:hAnsi="Times New Roman" w:cs="Times New Roman"/>
                <w:sz w:val="20"/>
                <w:szCs w:val="20"/>
              </w:rPr>
            </w:pPr>
          </w:p>
        </w:tc>
        <w:tc>
          <w:tcPr>
            <w:tcW w:w="645" w:type="pct"/>
            <w:tcBorders>
              <w:top w:val="nil"/>
              <w:left w:val="single" w:sz="4" w:space="0" w:color="000000"/>
              <w:bottom w:val="nil"/>
              <w:right w:val="single" w:sz="4" w:space="0" w:color="000000"/>
            </w:tcBorders>
          </w:tcPr>
          <w:p w14:paraId="4DF1B540"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(0.0036)</w:t>
            </w:r>
          </w:p>
        </w:tc>
        <w:tc>
          <w:tcPr>
            <w:tcW w:w="646" w:type="pct"/>
            <w:tcBorders>
              <w:top w:val="nil"/>
              <w:left w:val="single" w:sz="4" w:space="0" w:color="000000"/>
              <w:bottom w:val="nil"/>
              <w:right w:val="single" w:sz="4" w:space="0" w:color="000000"/>
            </w:tcBorders>
          </w:tcPr>
          <w:p w14:paraId="4CC334F0"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(0.0093)</w:t>
            </w:r>
          </w:p>
        </w:tc>
        <w:tc>
          <w:tcPr>
            <w:tcW w:w="645" w:type="pct"/>
            <w:tcBorders>
              <w:top w:val="nil"/>
              <w:left w:val="single" w:sz="4" w:space="0" w:color="000000"/>
              <w:bottom w:val="nil"/>
              <w:right w:val="nil"/>
            </w:tcBorders>
          </w:tcPr>
          <w:p w14:paraId="77D2A91C"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(0.0144)</w:t>
            </w:r>
          </w:p>
        </w:tc>
        <w:tc>
          <w:tcPr>
            <w:tcW w:w="693" w:type="pct"/>
            <w:tcBorders>
              <w:top w:val="nil"/>
              <w:left w:val="single" w:sz="4" w:space="0" w:color="000000"/>
              <w:bottom w:val="nil"/>
              <w:right w:val="nil"/>
            </w:tcBorders>
          </w:tcPr>
          <w:p w14:paraId="67AE93C7" w14:textId="77777777" w:rsidR="00492E75" w:rsidRDefault="00492E75">
            <w:pPr>
              <w:spacing w:line="300" w:lineRule="exact"/>
              <w:jc w:val="center"/>
              <w:rPr>
                <w:rFonts w:ascii="Times New Roman" w:hAnsi="Times New Roman" w:cs="Times New Roman"/>
                <w:sz w:val="18"/>
                <w:szCs w:val="18"/>
              </w:rPr>
            </w:pPr>
          </w:p>
        </w:tc>
        <w:tc>
          <w:tcPr>
            <w:tcW w:w="663" w:type="pct"/>
            <w:tcBorders>
              <w:top w:val="nil"/>
              <w:left w:val="single" w:sz="4" w:space="0" w:color="000000"/>
              <w:bottom w:val="nil"/>
              <w:right w:val="single" w:sz="4" w:space="0" w:color="auto"/>
            </w:tcBorders>
          </w:tcPr>
          <w:p w14:paraId="2F6815D5"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(0.0013)</w:t>
            </w:r>
          </w:p>
        </w:tc>
        <w:tc>
          <w:tcPr>
            <w:tcW w:w="665" w:type="pct"/>
            <w:tcBorders>
              <w:top w:val="nil"/>
              <w:left w:val="single" w:sz="4" w:space="0" w:color="auto"/>
              <w:bottom w:val="nil"/>
              <w:right w:val="nil"/>
            </w:tcBorders>
          </w:tcPr>
          <w:p w14:paraId="471A4C5E"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(0.0050)</w:t>
            </w:r>
          </w:p>
        </w:tc>
      </w:tr>
      <w:tr w:rsidR="00492E75" w14:paraId="7AB738E1" w14:textId="77777777">
        <w:trPr>
          <w:trHeight w:hRule="exact" w:val="317"/>
          <w:jc w:val="center"/>
        </w:trPr>
        <w:tc>
          <w:tcPr>
            <w:tcW w:w="1043" w:type="pct"/>
            <w:vMerge w:val="restart"/>
            <w:tcBorders>
              <w:top w:val="nil"/>
              <w:left w:val="nil"/>
              <w:bottom w:val="nil"/>
              <w:right w:val="single" w:sz="4" w:space="0" w:color="000000"/>
            </w:tcBorders>
            <w:vAlign w:val="center"/>
          </w:tcPr>
          <w:p w14:paraId="65E97290"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网约车进驻</w:t>
            </w:r>
          </w:p>
        </w:tc>
        <w:tc>
          <w:tcPr>
            <w:tcW w:w="645" w:type="pct"/>
            <w:tcBorders>
              <w:top w:val="nil"/>
              <w:left w:val="single" w:sz="4" w:space="0" w:color="000000"/>
              <w:bottom w:val="nil"/>
              <w:right w:val="single" w:sz="4" w:space="0" w:color="000000"/>
            </w:tcBorders>
          </w:tcPr>
          <w:p w14:paraId="47DCE4BD" w14:textId="77777777" w:rsidR="00492E75" w:rsidRDefault="00492E75">
            <w:pPr>
              <w:spacing w:line="300" w:lineRule="exact"/>
              <w:jc w:val="center"/>
              <w:rPr>
                <w:rFonts w:ascii="Times New Roman" w:hAnsi="Times New Roman" w:cs="Times New Roman"/>
                <w:sz w:val="18"/>
                <w:szCs w:val="18"/>
              </w:rPr>
            </w:pPr>
          </w:p>
        </w:tc>
        <w:tc>
          <w:tcPr>
            <w:tcW w:w="646" w:type="pct"/>
            <w:tcBorders>
              <w:top w:val="nil"/>
              <w:left w:val="single" w:sz="4" w:space="0" w:color="000000"/>
              <w:bottom w:val="nil"/>
              <w:right w:val="single" w:sz="4" w:space="0" w:color="000000"/>
            </w:tcBorders>
            <w:vAlign w:val="center"/>
          </w:tcPr>
          <w:p w14:paraId="00400C1E" w14:textId="77777777" w:rsidR="00492E75" w:rsidRDefault="00492E75">
            <w:pPr>
              <w:widowControl/>
              <w:spacing w:line="300" w:lineRule="exact"/>
              <w:jc w:val="center"/>
              <w:rPr>
                <w:rFonts w:ascii="Times New Roman" w:hAnsi="Times New Roman" w:cs="Times New Roman"/>
                <w:sz w:val="18"/>
                <w:szCs w:val="18"/>
              </w:rPr>
            </w:pPr>
          </w:p>
        </w:tc>
        <w:tc>
          <w:tcPr>
            <w:tcW w:w="645" w:type="pct"/>
            <w:tcBorders>
              <w:top w:val="nil"/>
              <w:left w:val="single" w:sz="4" w:space="0" w:color="000000"/>
              <w:bottom w:val="nil"/>
              <w:right w:val="nil"/>
            </w:tcBorders>
            <w:vAlign w:val="center"/>
          </w:tcPr>
          <w:p w14:paraId="341D8C21" w14:textId="77777777" w:rsidR="00492E75" w:rsidRDefault="00492E75">
            <w:pPr>
              <w:spacing w:line="300" w:lineRule="exact"/>
              <w:jc w:val="center"/>
              <w:rPr>
                <w:rFonts w:ascii="Times New Roman" w:hAnsi="Times New Roman" w:cs="Times New Roman"/>
                <w:sz w:val="18"/>
                <w:szCs w:val="18"/>
              </w:rPr>
            </w:pPr>
          </w:p>
        </w:tc>
        <w:tc>
          <w:tcPr>
            <w:tcW w:w="693" w:type="pct"/>
            <w:tcBorders>
              <w:top w:val="nil"/>
              <w:left w:val="single" w:sz="4" w:space="0" w:color="000000"/>
              <w:bottom w:val="nil"/>
              <w:right w:val="nil"/>
            </w:tcBorders>
          </w:tcPr>
          <w:p w14:paraId="6C958E6D"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-0.0135</w:t>
            </w:r>
          </w:p>
        </w:tc>
        <w:tc>
          <w:tcPr>
            <w:tcW w:w="663" w:type="pct"/>
            <w:tcBorders>
              <w:top w:val="nil"/>
              <w:left w:val="single" w:sz="4" w:space="0" w:color="000000"/>
              <w:bottom w:val="nil"/>
              <w:right w:val="single" w:sz="4" w:space="0" w:color="auto"/>
            </w:tcBorders>
          </w:tcPr>
          <w:p w14:paraId="4085DBEA" w14:textId="77777777" w:rsidR="00492E75" w:rsidRDefault="00492E75">
            <w:pPr>
              <w:spacing w:line="300" w:lineRule="exact"/>
              <w:jc w:val="center"/>
              <w:rPr>
                <w:rFonts w:ascii="Times New Roman" w:hAnsi="Times New Roman" w:cs="Times New Roman"/>
                <w:sz w:val="18"/>
                <w:szCs w:val="18"/>
              </w:rPr>
            </w:pPr>
          </w:p>
        </w:tc>
        <w:tc>
          <w:tcPr>
            <w:tcW w:w="665" w:type="pct"/>
            <w:tcBorders>
              <w:top w:val="nil"/>
              <w:left w:val="single" w:sz="4" w:space="0" w:color="auto"/>
              <w:bottom w:val="nil"/>
              <w:right w:val="nil"/>
            </w:tcBorders>
          </w:tcPr>
          <w:p w14:paraId="6A5284A2" w14:textId="77777777" w:rsidR="00492E75" w:rsidRDefault="00492E75">
            <w:pPr>
              <w:spacing w:line="300" w:lineRule="exact"/>
              <w:jc w:val="center"/>
              <w:rPr>
                <w:rFonts w:ascii="Times New Roman" w:hAnsi="Times New Roman" w:cs="Times New Roman"/>
                <w:sz w:val="18"/>
                <w:szCs w:val="18"/>
              </w:rPr>
            </w:pPr>
          </w:p>
        </w:tc>
      </w:tr>
      <w:tr w:rsidR="00492E75" w14:paraId="0414442E" w14:textId="77777777">
        <w:trPr>
          <w:trHeight w:hRule="exact" w:val="317"/>
          <w:jc w:val="center"/>
        </w:trPr>
        <w:tc>
          <w:tcPr>
            <w:tcW w:w="1043" w:type="pct"/>
            <w:vMerge/>
            <w:tcBorders>
              <w:top w:val="nil"/>
              <w:left w:val="nil"/>
              <w:bottom w:val="nil"/>
              <w:right w:val="single" w:sz="4" w:space="0" w:color="000000"/>
            </w:tcBorders>
            <w:vAlign w:val="center"/>
          </w:tcPr>
          <w:p w14:paraId="620DFD82" w14:textId="77777777" w:rsidR="00492E75" w:rsidRDefault="00492E75">
            <w:pPr>
              <w:rPr>
                <w:rFonts w:ascii="Times New Roman" w:hAnsi="Times New Roman" w:cs="Times New Roman"/>
                <w:sz w:val="20"/>
                <w:szCs w:val="20"/>
              </w:rPr>
            </w:pPr>
          </w:p>
        </w:tc>
        <w:tc>
          <w:tcPr>
            <w:tcW w:w="645" w:type="pct"/>
            <w:tcBorders>
              <w:top w:val="nil"/>
              <w:left w:val="single" w:sz="4" w:space="0" w:color="000000"/>
              <w:bottom w:val="nil"/>
              <w:right w:val="single" w:sz="4" w:space="0" w:color="000000"/>
            </w:tcBorders>
          </w:tcPr>
          <w:p w14:paraId="4DC3421C" w14:textId="77777777" w:rsidR="00492E75" w:rsidRDefault="00492E75">
            <w:pPr>
              <w:spacing w:line="300" w:lineRule="exact"/>
              <w:jc w:val="center"/>
              <w:rPr>
                <w:rFonts w:ascii="Times New Roman" w:hAnsi="Times New Roman" w:cs="Times New Roman"/>
                <w:sz w:val="18"/>
                <w:szCs w:val="18"/>
              </w:rPr>
            </w:pPr>
          </w:p>
        </w:tc>
        <w:tc>
          <w:tcPr>
            <w:tcW w:w="646" w:type="pct"/>
            <w:tcBorders>
              <w:top w:val="nil"/>
              <w:left w:val="single" w:sz="4" w:space="0" w:color="000000"/>
              <w:bottom w:val="nil"/>
              <w:right w:val="single" w:sz="4" w:space="0" w:color="000000"/>
            </w:tcBorders>
            <w:vAlign w:val="center"/>
          </w:tcPr>
          <w:p w14:paraId="56CC1CDD" w14:textId="77777777" w:rsidR="00492E75" w:rsidRDefault="00492E75">
            <w:pPr>
              <w:widowControl/>
              <w:spacing w:line="300" w:lineRule="exact"/>
              <w:jc w:val="center"/>
              <w:rPr>
                <w:rFonts w:ascii="Times New Roman" w:hAnsi="Times New Roman" w:cs="Times New Roman"/>
                <w:sz w:val="18"/>
                <w:szCs w:val="18"/>
              </w:rPr>
            </w:pPr>
          </w:p>
        </w:tc>
        <w:tc>
          <w:tcPr>
            <w:tcW w:w="645" w:type="pct"/>
            <w:tcBorders>
              <w:top w:val="nil"/>
              <w:left w:val="single" w:sz="4" w:space="0" w:color="000000"/>
              <w:bottom w:val="nil"/>
              <w:right w:val="nil"/>
            </w:tcBorders>
            <w:vAlign w:val="center"/>
          </w:tcPr>
          <w:p w14:paraId="6F7C2B51" w14:textId="77777777" w:rsidR="00492E75" w:rsidRDefault="00492E75">
            <w:pPr>
              <w:spacing w:line="300" w:lineRule="exact"/>
              <w:jc w:val="center"/>
              <w:rPr>
                <w:rFonts w:ascii="Times New Roman" w:hAnsi="Times New Roman" w:cs="Times New Roman"/>
                <w:sz w:val="18"/>
                <w:szCs w:val="18"/>
              </w:rPr>
            </w:pPr>
          </w:p>
        </w:tc>
        <w:tc>
          <w:tcPr>
            <w:tcW w:w="693" w:type="pct"/>
            <w:tcBorders>
              <w:top w:val="nil"/>
              <w:left w:val="single" w:sz="4" w:space="0" w:color="000000"/>
              <w:bottom w:val="nil"/>
              <w:right w:val="nil"/>
            </w:tcBorders>
          </w:tcPr>
          <w:p w14:paraId="0996A4E3"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(0.0134)</w:t>
            </w:r>
          </w:p>
        </w:tc>
        <w:tc>
          <w:tcPr>
            <w:tcW w:w="663" w:type="pct"/>
            <w:tcBorders>
              <w:top w:val="nil"/>
              <w:left w:val="single" w:sz="4" w:space="0" w:color="000000"/>
              <w:bottom w:val="nil"/>
              <w:right w:val="single" w:sz="4" w:space="0" w:color="auto"/>
            </w:tcBorders>
          </w:tcPr>
          <w:p w14:paraId="73403FA6" w14:textId="77777777" w:rsidR="00492E75" w:rsidRDefault="00492E75">
            <w:pPr>
              <w:spacing w:line="300" w:lineRule="exact"/>
              <w:jc w:val="center"/>
              <w:rPr>
                <w:rFonts w:ascii="Times New Roman" w:hAnsi="Times New Roman" w:cs="Times New Roman"/>
                <w:sz w:val="18"/>
                <w:szCs w:val="18"/>
              </w:rPr>
            </w:pPr>
          </w:p>
        </w:tc>
        <w:tc>
          <w:tcPr>
            <w:tcW w:w="665" w:type="pct"/>
            <w:tcBorders>
              <w:top w:val="nil"/>
              <w:left w:val="single" w:sz="4" w:space="0" w:color="auto"/>
              <w:bottom w:val="nil"/>
              <w:right w:val="nil"/>
            </w:tcBorders>
            <w:vAlign w:val="center"/>
          </w:tcPr>
          <w:p w14:paraId="02D6C370" w14:textId="77777777" w:rsidR="00492E75" w:rsidRDefault="00492E75">
            <w:pPr>
              <w:spacing w:line="300" w:lineRule="exact"/>
              <w:jc w:val="center"/>
              <w:rPr>
                <w:rFonts w:ascii="Times New Roman" w:hAnsi="Times New Roman" w:cs="Times New Roman"/>
                <w:sz w:val="18"/>
                <w:szCs w:val="18"/>
              </w:rPr>
            </w:pPr>
          </w:p>
        </w:tc>
      </w:tr>
      <w:tr w:rsidR="00492E75" w14:paraId="0C412E5B" w14:textId="77777777">
        <w:trPr>
          <w:trHeight w:hRule="exact" w:val="317"/>
          <w:jc w:val="center"/>
        </w:trPr>
        <w:tc>
          <w:tcPr>
            <w:tcW w:w="1043" w:type="pct"/>
            <w:vMerge w:val="restart"/>
            <w:tcBorders>
              <w:top w:val="nil"/>
              <w:left w:val="nil"/>
              <w:bottom w:val="nil"/>
              <w:right w:val="single" w:sz="4" w:space="0" w:color="000000"/>
            </w:tcBorders>
            <w:vAlign w:val="center"/>
          </w:tcPr>
          <w:p w14:paraId="18885DCD"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常数项</w:t>
            </w:r>
          </w:p>
        </w:tc>
        <w:tc>
          <w:tcPr>
            <w:tcW w:w="645" w:type="pct"/>
            <w:tcBorders>
              <w:top w:val="nil"/>
              <w:left w:val="single" w:sz="4" w:space="0" w:color="000000"/>
              <w:bottom w:val="nil"/>
              <w:right w:val="single" w:sz="4" w:space="0" w:color="000000"/>
            </w:tcBorders>
          </w:tcPr>
          <w:p w14:paraId="428337B6"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1.5043</w:t>
            </w:r>
            <w:r>
              <w:rPr>
                <w:rStyle w:val="fontstyle01"/>
                <w:rFonts w:ascii="Times New Roman" w:hAnsi="Times New Roman" w:cs="Times New Roman" w:hint="default"/>
                <w:sz w:val="18"/>
                <w:szCs w:val="18"/>
                <w:vertAlign w:val="superscript"/>
                <w:lang w:bidi="ar"/>
              </w:rPr>
              <w:t>**</w:t>
            </w:r>
          </w:p>
        </w:tc>
        <w:tc>
          <w:tcPr>
            <w:tcW w:w="646" w:type="pct"/>
            <w:tcBorders>
              <w:top w:val="nil"/>
              <w:left w:val="single" w:sz="4" w:space="0" w:color="000000"/>
              <w:bottom w:val="nil"/>
              <w:right w:val="single" w:sz="4" w:space="0" w:color="000000"/>
            </w:tcBorders>
          </w:tcPr>
          <w:p w14:paraId="3EFD1F31"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0.3846</w:t>
            </w:r>
          </w:p>
        </w:tc>
        <w:tc>
          <w:tcPr>
            <w:tcW w:w="645" w:type="pct"/>
            <w:tcBorders>
              <w:top w:val="nil"/>
              <w:left w:val="single" w:sz="4" w:space="0" w:color="000000"/>
              <w:bottom w:val="nil"/>
              <w:right w:val="nil"/>
            </w:tcBorders>
          </w:tcPr>
          <w:p w14:paraId="0FA26356"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1.2896</w:t>
            </w:r>
            <w:r>
              <w:rPr>
                <w:rStyle w:val="fontstyle01"/>
                <w:rFonts w:ascii="Times New Roman" w:hAnsi="Times New Roman" w:cs="Times New Roman" w:hint="default"/>
                <w:sz w:val="18"/>
                <w:szCs w:val="18"/>
                <w:vertAlign w:val="superscript"/>
                <w:lang w:bidi="ar"/>
              </w:rPr>
              <w:t>**</w:t>
            </w:r>
          </w:p>
        </w:tc>
        <w:tc>
          <w:tcPr>
            <w:tcW w:w="693" w:type="pct"/>
            <w:tcBorders>
              <w:top w:val="nil"/>
              <w:left w:val="single" w:sz="4" w:space="0" w:color="000000"/>
              <w:bottom w:val="nil"/>
              <w:right w:val="nil"/>
            </w:tcBorders>
          </w:tcPr>
          <w:p w14:paraId="63C9871F"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1.5792</w:t>
            </w:r>
            <w:r>
              <w:rPr>
                <w:rStyle w:val="fontstyle01"/>
                <w:rFonts w:ascii="Times New Roman" w:hAnsi="Times New Roman" w:cs="Times New Roman" w:hint="default"/>
                <w:sz w:val="18"/>
                <w:szCs w:val="18"/>
                <w:vertAlign w:val="superscript"/>
                <w:lang w:bidi="ar"/>
              </w:rPr>
              <w:t>***</w:t>
            </w:r>
          </w:p>
        </w:tc>
        <w:tc>
          <w:tcPr>
            <w:tcW w:w="663" w:type="pct"/>
            <w:tcBorders>
              <w:top w:val="nil"/>
              <w:left w:val="single" w:sz="4" w:space="0" w:color="000000"/>
              <w:bottom w:val="nil"/>
              <w:right w:val="single" w:sz="4" w:space="0" w:color="auto"/>
            </w:tcBorders>
          </w:tcPr>
          <w:p w14:paraId="4551A8E5"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1.4832</w:t>
            </w:r>
            <w:r>
              <w:rPr>
                <w:rStyle w:val="fontstyle01"/>
                <w:rFonts w:ascii="Times New Roman" w:hAnsi="Times New Roman" w:cs="Times New Roman" w:hint="default"/>
                <w:sz w:val="18"/>
                <w:szCs w:val="18"/>
                <w:vertAlign w:val="superscript"/>
                <w:lang w:bidi="ar"/>
              </w:rPr>
              <w:t>***</w:t>
            </w:r>
          </w:p>
        </w:tc>
        <w:tc>
          <w:tcPr>
            <w:tcW w:w="665" w:type="pct"/>
            <w:vMerge w:val="restart"/>
            <w:tcBorders>
              <w:top w:val="nil"/>
              <w:left w:val="single" w:sz="4" w:space="0" w:color="auto"/>
              <w:bottom w:val="nil"/>
              <w:right w:val="nil"/>
            </w:tcBorders>
            <w:vAlign w:val="center"/>
          </w:tcPr>
          <w:p w14:paraId="68C943F6" w14:textId="77777777" w:rsidR="00492E75" w:rsidRDefault="00492E75">
            <w:pPr>
              <w:spacing w:line="300" w:lineRule="exact"/>
              <w:jc w:val="center"/>
              <w:rPr>
                <w:rFonts w:ascii="Times New Roman" w:hAnsi="Times New Roman" w:cs="Times New Roman"/>
                <w:sz w:val="18"/>
                <w:szCs w:val="18"/>
              </w:rPr>
            </w:pPr>
          </w:p>
        </w:tc>
      </w:tr>
      <w:tr w:rsidR="00492E75" w14:paraId="3CAF3A44" w14:textId="77777777">
        <w:trPr>
          <w:trHeight w:hRule="exact" w:val="317"/>
          <w:jc w:val="center"/>
        </w:trPr>
        <w:tc>
          <w:tcPr>
            <w:tcW w:w="1043" w:type="pct"/>
            <w:vMerge/>
            <w:tcBorders>
              <w:top w:val="nil"/>
              <w:left w:val="nil"/>
              <w:bottom w:val="nil"/>
              <w:right w:val="single" w:sz="4" w:space="0" w:color="000000"/>
            </w:tcBorders>
            <w:vAlign w:val="center"/>
          </w:tcPr>
          <w:p w14:paraId="3B9C0172" w14:textId="77777777" w:rsidR="00492E75" w:rsidRDefault="00492E75">
            <w:pPr>
              <w:rPr>
                <w:rFonts w:ascii="Times New Roman" w:hAnsi="Times New Roman" w:cs="Times New Roman"/>
                <w:sz w:val="20"/>
                <w:szCs w:val="20"/>
              </w:rPr>
            </w:pPr>
          </w:p>
        </w:tc>
        <w:tc>
          <w:tcPr>
            <w:tcW w:w="645" w:type="pct"/>
            <w:tcBorders>
              <w:top w:val="nil"/>
              <w:left w:val="single" w:sz="4" w:space="0" w:color="000000"/>
              <w:bottom w:val="nil"/>
              <w:right w:val="single" w:sz="4" w:space="0" w:color="000000"/>
            </w:tcBorders>
          </w:tcPr>
          <w:p w14:paraId="6AF04894"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(0.6235)</w:t>
            </w:r>
          </w:p>
        </w:tc>
        <w:tc>
          <w:tcPr>
            <w:tcW w:w="646" w:type="pct"/>
            <w:tcBorders>
              <w:top w:val="nil"/>
              <w:left w:val="single" w:sz="4" w:space="0" w:color="000000"/>
              <w:bottom w:val="nil"/>
              <w:right w:val="single" w:sz="4" w:space="0" w:color="000000"/>
            </w:tcBorders>
          </w:tcPr>
          <w:p w14:paraId="1F1D51A0"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(0.2395)</w:t>
            </w:r>
          </w:p>
        </w:tc>
        <w:tc>
          <w:tcPr>
            <w:tcW w:w="645" w:type="pct"/>
            <w:tcBorders>
              <w:top w:val="nil"/>
              <w:left w:val="single" w:sz="4" w:space="0" w:color="000000"/>
              <w:bottom w:val="nil"/>
              <w:right w:val="nil"/>
            </w:tcBorders>
          </w:tcPr>
          <w:p w14:paraId="42D12457"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(0.4977)</w:t>
            </w:r>
          </w:p>
        </w:tc>
        <w:tc>
          <w:tcPr>
            <w:tcW w:w="693" w:type="pct"/>
            <w:tcBorders>
              <w:top w:val="nil"/>
              <w:left w:val="single" w:sz="4" w:space="0" w:color="000000"/>
              <w:bottom w:val="nil"/>
              <w:right w:val="nil"/>
            </w:tcBorders>
          </w:tcPr>
          <w:p w14:paraId="6C6C06CD"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(0.5037)</w:t>
            </w:r>
          </w:p>
        </w:tc>
        <w:tc>
          <w:tcPr>
            <w:tcW w:w="663" w:type="pct"/>
            <w:tcBorders>
              <w:top w:val="nil"/>
              <w:left w:val="single" w:sz="4" w:space="0" w:color="000000"/>
              <w:bottom w:val="nil"/>
              <w:right w:val="single" w:sz="4" w:space="0" w:color="auto"/>
            </w:tcBorders>
          </w:tcPr>
          <w:p w14:paraId="074DE794"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(0.0902)</w:t>
            </w:r>
          </w:p>
        </w:tc>
        <w:tc>
          <w:tcPr>
            <w:tcW w:w="665" w:type="pct"/>
            <w:vMerge/>
            <w:tcBorders>
              <w:top w:val="nil"/>
              <w:left w:val="single" w:sz="4" w:space="0" w:color="auto"/>
              <w:bottom w:val="nil"/>
              <w:right w:val="nil"/>
            </w:tcBorders>
            <w:vAlign w:val="center"/>
          </w:tcPr>
          <w:p w14:paraId="52B9CB0B" w14:textId="77777777" w:rsidR="00492E75" w:rsidRDefault="00492E75">
            <w:pPr>
              <w:rPr>
                <w:rFonts w:ascii="Times New Roman" w:hAnsi="Times New Roman" w:cs="Times New Roman"/>
                <w:sz w:val="20"/>
                <w:szCs w:val="20"/>
              </w:rPr>
            </w:pPr>
          </w:p>
        </w:tc>
      </w:tr>
      <w:tr w:rsidR="00492E75" w14:paraId="5E6821A3" w14:textId="77777777">
        <w:trPr>
          <w:trHeight w:hRule="exact" w:val="317"/>
          <w:jc w:val="center"/>
        </w:trPr>
        <w:tc>
          <w:tcPr>
            <w:tcW w:w="1043" w:type="pct"/>
            <w:tcBorders>
              <w:top w:val="nil"/>
              <w:left w:val="nil"/>
              <w:bottom w:val="nil"/>
              <w:right w:val="single" w:sz="4" w:space="0" w:color="000000"/>
            </w:tcBorders>
            <w:vAlign w:val="center"/>
          </w:tcPr>
          <w:p w14:paraId="295B114E"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控制变量</w:t>
            </w:r>
          </w:p>
        </w:tc>
        <w:tc>
          <w:tcPr>
            <w:tcW w:w="645" w:type="pct"/>
            <w:tcBorders>
              <w:top w:val="nil"/>
              <w:left w:val="single" w:sz="4" w:space="0" w:color="000000"/>
              <w:bottom w:val="nil"/>
              <w:right w:val="single" w:sz="4" w:space="0" w:color="000000"/>
            </w:tcBorders>
          </w:tcPr>
          <w:p w14:paraId="25B3A592"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控制</w:t>
            </w:r>
          </w:p>
        </w:tc>
        <w:tc>
          <w:tcPr>
            <w:tcW w:w="646" w:type="pct"/>
            <w:tcBorders>
              <w:top w:val="nil"/>
              <w:left w:val="single" w:sz="4" w:space="0" w:color="000000"/>
              <w:bottom w:val="nil"/>
              <w:right w:val="single" w:sz="4" w:space="0" w:color="000000"/>
            </w:tcBorders>
          </w:tcPr>
          <w:p w14:paraId="77E38968"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控制</w:t>
            </w:r>
          </w:p>
        </w:tc>
        <w:tc>
          <w:tcPr>
            <w:tcW w:w="645" w:type="pct"/>
            <w:tcBorders>
              <w:top w:val="nil"/>
              <w:left w:val="single" w:sz="4" w:space="0" w:color="000000"/>
              <w:bottom w:val="nil"/>
              <w:right w:val="nil"/>
            </w:tcBorders>
          </w:tcPr>
          <w:p w14:paraId="6F1B63E6"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控制</w:t>
            </w:r>
          </w:p>
        </w:tc>
        <w:tc>
          <w:tcPr>
            <w:tcW w:w="693" w:type="pct"/>
            <w:tcBorders>
              <w:top w:val="nil"/>
              <w:left w:val="single" w:sz="4" w:space="0" w:color="000000"/>
              <w:bottom w:val="nil"/>
              <w:right w:val="nil"/>
            </w:tcBorders>
          </w:tcPr>
          <w:p w14:paraId="08D457FC"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控制</w:t>
            </w:r>
          </w:p>
        </w:tc>
        <w:tc>
          <w:tcPr>
            <w:tcW w:w="663" w:type="pct"/>
            <w:tcBorders>
              <w:top w:val="nil"/>
              <w:left w:val="single" w:sz="4" w:space="0" w:color="000000"/>
              <w:bottom w:val="nil"/>
              <w:right w:val="single" w:sz="4" w:space="0" w:color="auto"/>
            </w:tcBorders>
          </w:tcPr>
          <w:p w14:paraId="5540018A"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控制</w:t>
            </w:r>
          </w:p>
        </w:tc>
        <w:tc>
          <w:tcPr>
            <w:tcW w:w="665" w:type="pct"/>
            <w:tcBorders>
              <w:top w:val="nil"/>
              <w:left w:val="single" w:sz="4" w:space="0" w:color="auto"/>
              <w:bottom w:val="nil"/>
              <w:right w:val="nil"/>
            </w:tcBorders>
          </w:tcPr>
          <w:p w14:paraId="1387DE4E"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控制</w:t>
            </w:r>
          </w:p>
        </w:tc>
      </w:tr>
      <w:tr w:rsidR="00492E75" w14:paraId="7275E3F2" w14:textId="77777777">
        <w:trPr>
          <w:trHeight w:hRule="exact" w:val="317"/>
          <w:jc w:val="center"/>
        </w:trPr>
        <w:tc>
          <w:tcPr>
            <w:tcW w:w="1043" w:type="pct"/>
            <w:tcBorders>
              <w:top w:val="nil"/>
              <w:left w:val="nil"/>
              <w:bottom w:val="single" w:sz="4" w:space="0" w:color="000000"/>
              <w:right w:val="single" w:sz="4" w:space="0" w:color="000000"/>
            </w:tcBorders>
            <w:vAlign w:val="center"/>
          </w:tcPr>
          <w:p w14:paraId="5BDF591B"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固定效应</w:t>
            </w:r>
          </w:p>
        </w:tc>
        <w:tc>
          <w:tcPr>
            <w:tcW w:w="645" w:type="pct"/>
            <w:tcBorders>
              <w:top w:val="nil"/>
              <w:left w:val="single" w:sz="4" w:space="0" w:color="000000"/>
              <w:bottom w:val="single" w:sz="4" w:space="0" w:color="000000"/>
              <w:right w:val="single" w:sz="4" w:space="0" w:color="000000"/>
            </w:tcBorders>
          </w:tcPr>
          <w:p w14:paraId="226A5A6B"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控制</w:t>
            </w:r>
          </w:p>
        </w:tc>
        <w:tc>
          <w:tcPr>
            <w:tcW w:w="646" w:type="pct"/>
            <w:tcBorders>
              <w:top w:val="nil"/>
              <w:left w:val="single" w:sz="4" w:space="0" w:color="000000"/>
              <w:bottom w:val="single" w:sz="4" w:space="0" w:color="000000"/>
              <w:right w:val="single" w:sz="4" w:space="0" w:color="000000"/>
            </w:tcBorders>
          </w:tcPr>
          <w:p w14:paraId="651B8D24"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控制</w:t>
            </w:r>
          </w:p>
        </w:tc>
        <w:tc>
          <w:tcPr>
            <w:tcW w:w="645" w:type="pct"/>
            <w:tcBorders>
              <w:top w:val="nil"/>
              <w:left w:val="single" w:sz="4" w:space="0" w:color="000000"/>
              <w:bottom w:val="single" w:sz="4" w:space="0" w:color="000000"/>
              <w:right w:val="nil"/>
            </w:tcBorders>
          </w:tcPr>
          <w:p w14:paraId="6D0288D9"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控制</w:t>
            </w:r>
          </w:p>
        </w:tc>
        <w:tc>
          <w:tcPr>
            <w:tcW w:w="693" w:type="pct"/>
            <w:tcBorders>
              <w:top w:val="nil"/>
              <w:left w:val="single" w:sz="4" w:space="0" w:color="000000"/>
              <w:bottom w:val="single" w:sz="4" w:space="0" w:color="000000"/>
              <w:right w:val="nil"/>
            </w:tcBorders>
          </w:tcPr>
          <w:p w14:paraId="1548E6D1"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控制</w:t>
            </w:r>
          </w:p>
        </w:tc>
        <w:tc>
          <w:tcPr>
            <w:tcW w:w="663" w:type="pct"/>
            <w:tcBorders>
              <w:top w:val="nil"/>
              <w:left w:val="single" w:sz="4" w:space="0" w:color="000000"/>
              <w:bottom w:val="single" w:sz="4" w:space="0" w:color="000000"/>
              <w:right w:val="single" w:sz="4" w:space="0" w:color="auto"/>
            </w:tcBorders>
            <w:vAlign w:val="center"/>
          </w:tcPr>
          <w:p w14:paraId="28CBAEAD" w14:textId="77777777" w:rsidR="00492E75" w:rsidRDefault="00492E75">
            <w:pPr>
              <w:spacing w:line="300" w:lineRule="exact"/>
              <w:jc w:val="center"/>
              <w:rPr>
                <w:rFonts w:ascii="Times New Roman" w:hAnsi="Times New Roman" w:cs="Times New Roman"/>
                <w:sz w:val="18"/>
                <w:szCs w:val="18"/>
              </w:rPr>
            </w:pPr>
          </w:p>
        </w:tc>
        <w:tc>
          <w:tcPr>
            <w:tcW w:w="665" w:type="pct"/>
            <w:tcBorders>
              <w:top w:val="nil"/>
              <w:left w:val="single" w:sz="4" w:space="0" w:color="auto"/>
              <w:bottom w:val="single" w:sz="4" w:space="0" w:color="000000"/>
              <w:right w:val="nil"/>
            </w:tcBorders>
            <w:vAlign w:val="center"/>
          </w:tcPr>
          <w:p w14:paraId="28F8F904" w14:textId="77777777" w:rsidR="00492E75" w:rsidRDefault="00492E75">
            <w:pPr>
              <w:spacing w:line="300" w:lineRule="exact"/>
              <w:jc w:val="center"/>
              <w:rPr>
                <w:rFonts w:ascii="Times New Roman" w:hAnsi="Times New Roman" w:cs="Times New Roman"/>
                <w:sz w:val="18"/>
                <w:szCs w:val="18"/>
              </w:rPr>
            </w:pPr>
          </w:p>
        </w:tc>
      </w:tr>
      <w:tr w:rsidR="00492E75" w14:paraId="383AF331" w14:textId="77777777">
        <w:trPr>
          <w:trHeight w:hRule="exact" w:val="317"/>
          <w:jc w:val="center"/>
        </w:trPr>
        <w:tc>
          <w:tcPr>
            <w:tcW w:w="1043" w:type="pct"/>
            <w:tcBorders>
              <w:top w:val="single" w:sz="4" w:space="0" w:color="000000"/>
              <w:left w:val="nil"/>
              <w:bottom w:val="nil"/>
              <w:right w:val="single" w:sz="4" w:space="0" w:color="000000"/>
            </w:tcBorders>
            <w:vAlign w:val="center"/>
          </w:tcPr>
          <w:p w14:paraId="2FB69E6C" w14:textId="77777777" w:rsidR="00492E75" w:rsidRDefault="00000000">
            <w:pPr>
              <w:spacing w:line="300" w:lineRule="exact"/>
              <w:jc w:val="center"/>
              <w:rPr>
                <w:rFonts w:ascii="Times New Roman" w:hAnsi="Times New Roman" w:cs="Times New Roman"/>
                <w:sz w:val="18"/>
                <w:szCs w:val="18"/>
              </w:rPr>
            </w:pPr>
            <w:r>
              <w:rPr>
                <w:rFonts w:ascii="Times New Roman" w:eastAsia="宋体" w:hAnsi="Times New Roman" w:cs="Times New Roman"/>
                <w:i/>
                <w:iCs/>
                <w:sz w:val="18"/>
                <w:szCs w:val="18"/>
                <w:lang w:bidi="ar"/>
              </w:rPr>
              <w:t>N</w:t>
            </w:r>
          </w:p>
        </w:tc>
        <w:tc>
          <w:tcPr>
            <w:tcW w:w="645" w:type="pct"/>
            <w:tcBorders>
              <w:top w:val="single" w:sz="4" w:space="0" w:color="000000"/>
              <w:left w:val="single" w:sz="4" w:space="0" w:color="000000"/>
              <w:bottom w:val="nil"/>
              <w:right w:val="single" w:sz="4" w:space="0" w:color="000000"/>
            </w:tcBorders>
          </w:tcPr>
          <w:p w14:paraId="0BE8511B"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373 907</w:t>
            </w:r>
          </w:p>
        </w:tc>
        <w:tc>
          <w:tcPr>
            <w:tcW w:w="646" w:type="pct"/>
            <w:tcBorders>
              <w:top w:val="single" w:sz="4" w:space="0" w:color="000000"/>
              <w:left w:val="single" w:sz="4" w:space="0" w:color="000000"/>
              <w:bottom w:val="nil"/>
              <w:right w:val="single" w:sz="4" w:space="0" w:color="000000"/>
            </w:tcBorders>
          </w:tcPr>
          <w:p w14:paraId="6A7C314D"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683 598</w:t>
            </w:r>
          </w:p>
        </w:tc>
        <w:tc>
          <w:tcPr>
            <w:tcW w:w="645" w:type="pct"/>
            <w:tcBorders>
              <w:top w:val="single" w:sz="4" w:space="0" w:color="000000"/>
              <w:left w:val="single" w:sz="4" w:space="0" w:color="000000"/>
              <w:bottom w:val="nil"/>
              <w:right w:val="nil"/>
            </w:tcBorders>
          </w:tcPr>
          <w:p w14:paraId="397C5587"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842 662</w:t>
            </w:r>
          </w:p>
        </w:tc>
        <w:tc>
          <w:tcPr>
            <w:tcW w:w="693" w:type="pct"/>
            <w:tcBorders>
              <w:top w:val="single" w:sz="4" w:space="0" w:color="000000"/>
              <w:left w:val="single" w:sz="4" w:space="0" w:color="000000"/>
              <w:bottom w:val="nil"/>
              <w:right w:val="nil"/>
            </w:tcBorders>
          </w:tcPr>
          <w:p w14:paraId="71E9EDDD"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842 662</w:t>
            </w:r>
          </w:p>
        </w:tc>
        <w:tc>
          <w:tcPr>
            <w:tcW w:w="663" w:type="pct"/>
            <w:tcBorders>
              <w:top w:val="single" w:sz="4" w:space="0" w:color="000000"/>
              <w:left w:val="single" w:sz="4" w:space="0" w:color="000000"/>
              <w:bottom w:val="nil"/>
              <w:right w:val="single" w:sz="4" w:space="0" w:color="auto"/>
            </w:tcBorders>
          </w:tcPr>
          <w:p w14:paraId="36571E9D"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7 314</w:t>
            </w:r>
          </w:p>
        </w:tc>
        <w:tc>
          <w:tcPr>
            <w:tcW w:w="665" w:type="pct"/>
            <w:tcBorders>
              <w:top w:val="single" w:sz="4" w:space="0" w:color="000000"/>
              <w:left w:val="single" w:sz="4" w:space="0" w:color="auto"/>
              <w:bottom w:val="nil"/>
              <w:right w:val="nil"/>
            </w:tcBorders>
            <w:vAlign w:val="center"/>
          </w:tcPr>
          <w:p w14:paraId="473E3318" w14:textId="77777777" w:rsidR="00492E75" w:rsidRDefault="00492E75">
            <w:pPr>
              <w:spacing w:line="300" w:lineRule="exact"/>
              <w:jc w:val="center"/>
              <w:rPr>
                <w:rFonts w:ascii="Times New Roman" w:hAnsi="Times New Roman" w:cs="Times New Roman"/>
                <w:sz w:val="18"/>
                <w:szCs w:val="18"/>
              </w:rPr>
            </w:pPr>
          </w:p>
        </w:tc>
      </w:tr>
      <w:tr w:rsidR="00492E75" w14:paraId="78D77C6E" w14:textId="77777777">
        <w:trPr>
          <w:trHeight w:hRule="exact" w:val="317"/>
          <w:jc w:val="center"/>
        </w:trPr>
        <w:tc>
          <w:tcPr>
            <w:tcW w:w="1043" w:type="pct"/>
            <w:tcBorders>
              <w:top w:val="nil"/>
              <w:left w:val="nil"/>
              <w:bottom w:val="single" w:sz="8" w:space="0" w:color="000000"/>
              <w:right w:val="single" w:sz="4" w:space="0" w:color="000000"/>
            </w:tcBorders>
            <w:vAlign w:val="center"/>
          </w:tcPr>
          <w:p w14:paraId="48905F9D" w14:textId="77777777" w:rsidR="00492E75" w:rsidRDefault="00000000">
            <w:pPr>
              <w:spacing w:line="300" w:lineRule="exact"/>
              <w:jc w:val="center"/>
              <w:rPr>
                <w:rFonts w:ascii="Times New Roman" w:hAnsi="Times New Roman" w:cs="Times New Roman"/>
                <w:sz w:val="18"/>
                <w:szCs w:val="18"/>
              </w:rPr>
            </w:pPr>
            <w:r>
              <w:rPr>
                <w:rFonts w:ascii="Times New Roman" w:eastAsia="宋体" w:hAnsi="Times New Roman" w:cs="Times New Roman"/>
                <w:i/>
                <w:iCs/>
                <w:sz w:val="18"/>
                <w:szCs w:val="18"/>
                <w:lang w:bidi="ar"/>
              </w:rPr>
              <w:t>R</w:t>
            </w:r>
            <w:r>
              <w:rPr>
                <w:rFonts w:ascii="Times New Roman" w:eastAsia="宋体" w:hAnsi="Times New Roman" w:cs="Times New Roman"/>
                <w:i/>
                <w:iCs/>
                <w:sz w:val="18"/>
                <w:szCs w:val="18"/>
                <w:vertAlign w:val="superscript"/>
                <w:lang w:bidi="ar"/>
              </w:rPr>
              <w:t>2</w:t>
            </w:r>
          </w:p>
        </w:tc>
        <w:tc>
          <w:tcPr>
            <w:tcW w:w="645" w:type="pct"/>
            <w:tcBorders>
              <w:top w:val="nil"/>
              <w:left w:val="single" w:sz="4" w:space="0" w:color="000000"/>
              <w:bottom w:val="single" w:sz="8" w:space="0" w:color="000000"/>
              <w:right w:val="single" w:sz="4" w:space="0" w:color="000000"/>
            </w:tcBorders>
          </w:tcPr>
          <w:p w14:paraId="65B0E871"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0.7149</w:t>
            </w:r>
          </w:p>
        </w:tc>
        <w:tc>
          <w:tcPr>
            <w:tcW w:w="646" w:type="pct"/>
            <w:tcBorders>
              <w:top w:val="nil"/>
              <w:left w:val="single" w:sz="4" w:space="0" w:color="000000"/>
              <w:bottom w:val="single" w:sz="8" w:space="0" w:color="000000"/>
              <w:right w:val="single" w:sz="4" w:space="0" w:color="000000"/>
            </w:tcBorders>
          </w:tcPr>
          <w:p w14:paraId="4ED23228"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0.7983</w:t>
            </w:r>
          </w:p>
        </w:tc>
        <w:tc>
          <w:tcPr>
            <w:tcW w:w="645" w:type="pct"/>
            <w:tcBorders>
              <w:top w:val="nil"/>
              <w:left w:val="single" w:sz="4" w:space="0" w:color="000000"/>
              <w:bottom w:val="single" w:sz="8" w:space="0" w:color="000000"/>
              <w:right w:val="nil"/>
            </w:tcBorders>
          </w:tcPr>
          <w:p w14:paraId="70DB1314"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0.7008</w:t>
            </w:r>
          </w:p>
        </w:tc>
        <w:tc>
          <w:tcPr>
            <w:tcW w:w="693" w:type="pct"/>
            <w:tcBorders>
              <w:top w:val="nil"/>
              <w:left w:val="single" w:sz="4" w:space="0" w:color="000000"/>
              <w:bottom w:val="single" w:sz="8" w:space="0" w:color="000000"/>
              <w:right w:val="nil"/>
            </w:tcBorders>
          </w:tcPr>
          <w:p w14:paraId="1F77CB59"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0.6966</w:t>
            </w:r>
          </w:p>
        </w:tc>
        <w:tc>
          <w:tcPr>
            <w:tcW w:w="663" w:type="pct"/>
            <w:tcBorders>
              <w:top w:val="nil"/>
              <w:left w:val="single" w:sz="4" w:space="0" w:color="000000"/>
              <w:bottom w:val="single" w:sz="8" w:space="0" w:color="000000"/>
              <w:right w:val="single" w:sz="4" w:space="0" w:color="auto"/>
            </w:tcBorders>
          </w:tcPr>
          <w:p w14:paraId="51C0CA28" w14:textId="77777777" w:rsidR="00492E75" w:rsidRDefault="00000000">
            <w:pPr>
              <w:spacing w:line="300" w:lineRule="exact"/>
              <w:jc w:val="center"/>
              <w:rPr>
                <w:rFonts w:ascii="Times New Roman" w:hAnsi="Times New Roman" w:cs="Times New Roman"/>
                <w:sz w:val="18"/>
                <w:szCs w:val="18"/>
              </w:rPr>
            </w:pPr>
            <w:r>
              <w:rPr>
                <w:rStyle w:val="fontstyle01"/>
                <w:rFonts w:ascii="Times New Roman" w:hAnsi="Times New Roman" w:cs="Times New Roman" w:hint="default"/>
                <w:sz w:val="18"/>
                <w:szCs w:val="18"/>
                <w:lang w:bidi="ar"/>
              </w:rPr>
              <w:t>0.9007</w:t>
            </w:r>
          </w:p>
        </w:tc>
        <w:tc>
          <w:tcPr>
            <w:tcW w:w="665" w:type="pct"/>
            <w:tcBorders>
              <w:top w:val="nil"/>
              <w:left w:val="single" w:sz="4" w:space="0" w:color="auto"/>
              <w:bottom w:val="single" w:sz="8" w:space="0" w:color="000000"/>
              <w:right w:val="nil"/>
            </w:tcBorders>
            <w:vAlign w:val="center"/>
          </w:tcPr>
          <w:p w14:paraId="6C183C8A" w14:textId="77777777" w:rsidR="00492E75" w:rsidRDefault="00492E75">
            <w:pPr>
              <w:spacing w:line="300" w:lineRule="exact"/>
              <w:jc w:val="center"/>
              <w:rPr>
                <w:rFonts w:ascii="Times New Roman" w:hAnsi="Times New Roman" w:cs="Times New Roman"/>
                <w:sz w:val="18"/>
                <w:szCs w:val="18"/>
              </w:rPr>
            </w:pPr>
          </w:p>
        </w:tc>
      </w:tr>
    </w:tbl>
    <w:p w14:paraId="7DCD835D" w14:textId="77777777" w:rsidR="00492E75" w:rsidRDefault="00000000">
      <w:pPr>
        <w:pStyle w:val="a8"/>
        <w:widowControl/>
        <w:spacing w:after="156"/>
        <w:rPr>
          <w:rFonts w:hint="eastAsia"/>
          <w:sz w:val="18"/>
          <w:szCs w:val="18"/>
        </w:rPr>
      </w:pPr>
      <w:r>
        <w:rPr>
          <w:rFonts w:hAnsi="Times New Roman"/>
          <w:sz w:val="18"/>
          <w:szCs w:val="18"/>
        </w:rPr>
        <w:t>注：</w:t>
      </w:r>
      <w:r>
        <w:rPr>
          <w:rFonts w:hAnsi="Times New Roman"/>
          <w:sz w:val="18"/>
          <w:szCs w:val="18"/>
          <w:vertAlign w:val="superscript"/>
        </w:rPr>
        <w:t>*</w:t>
      </w:r>
      <w:r>
        <w:rPr>
          <w:rFonts w:hAnsi="Times New Roman"/>
          <w:sz w:val="18"/>
          <w:szCs w:val="18"/>
        </w:rPr>
        <w:t>，</w:t>
      </w:r>
      <w:r>
        <w:rPr>
          <w:rFonts w:hAnsi="Times New Roman"/>
          <w:sz w:val="18"/>
          <w:szCs w:val="18"/>
          <w:vertAlign w:val="superscript"/>
        </w:rPr>
        <w:t>**</w:t>
      </w:r>
      <w:r>
        <w:rPr>
          <w:rFonts w:hAnsi="Times New Roman"/>
          <w:sz w:val="18"/>
          <w:szCs w:val="18"/>
        </w:rPr>
        <w:t>，</w:t>
      </w:r>
      <w:r>
        <w:rPr>
          <w:rFonts w:hAnsi="Times New Roman"/>
          <w:sz w:val="18"/>
          <w:szCs w:val="18"/>
          <w:vertAlign w:val="superscript"/>
        </w:rPr>
        <w:t>***</w:t>
      </w:r>
      <w:r>
        <w:rPr>
          <w:rFonts w:hAnsi="Times New Roman"/>
          <w:sz w:val="18"/>
          <w:szCs w:val="18"/>
        </w:rPr>
        <w:t>分别表示在</w:t>
      </w:r>
      <w:r>
        <w:rPr>
          <w:rFonts w:hAnsi="Times New Roman"/>
          <w:sz w:val="18"/>
          <w:szCs w:val="18"/>
        </w:rPr>
        <w:t>10%</w:t>
      </w:r>
      <w:r>
        <w:rPr>
          <w:rFonts w:hAnsi="Times New Roman"/>
          <w:sz w:val="18"/>
          <w:szCs w:val="18"/>
        </w:rPr>
        <w:t>，</w:t>
      </w:r>
      <w:r>
        <w:rPr>
          <w:rFonts w:hAnsi="Times New Roman"/>
          <w:sz w:val="18"/>
          <w:szCs w:val="18"/>
        </w:rPr>
        <w:t>5%</w:t>
      </w:r>
      <w:r>
        <w:rPr>
          <w:rFonts w:hAnsi="Times New Roman"/>
          <w:sz w:val="18"/>
          <w:szCs w:val="18"/>
        </w:rPr>
        <w:t>和</w:t>
      </w:r>
      <w:r>
        <w:rPr>
          <w:rFonts w:hAnsi="Times New Roman"/>
          <w:sz w:val="18"/>
          <w:szCs w:val="18"/>
        </w:rPr>
        <w:t>1%</w:t>
      </w:r>
      <w:r>
        <w:rPr>
          <w:rFonts w:hAnsi="Times New Roman"/>
          <w:sz w:val="18"/>
          <w:szCs w:val="18"/>
        </w:rPr>
        <w:t>水平下显著。</w:t>
      </w:r>
      <w:bookmarkEnd w:id="22"/>
    </w:p>
    <w:p w14:paraId="50358D48" w14:textId="77777777" w:rsidR="00492E75" w:rsidRDefault="00000000">
      <w:pPr>
        <w:pStyle w:val="a7"/>
        <w:widowControl/>
        <w:ind w:firstLine="420"/>
      </w:pPr>
      <w:bookmarkStart w:id="23" w:name="正文段落_86"/>
      <w:r>
        <w:t>9.</w:t>
      </w:r>
      <w:r>
        <w:rPr>
          <w:rFonts w:cs="宋体" w:hint="eastAsia"/>
        </w:rPr>
        <w:t>工具变量。在研究数字经济新业态对农业转移人口市民化意愿影响的过程中，逆向因果和遗漏变量所导致的内生性问题可能会很大程度上影响基准回归的可靠性。一方面，外卖平台发展过程中所提供的大量低门槛就业岗位能够促使更多农业转移人口选择继续留在当地工作，构成前向因果关系；但农业转移人口在城市聚集可以提供丰富的劳动力资源，可能成为外卖平台进驻当地并设置站点的原因，二者之间可能会存在双向因果关系。另一方面，虽然本文加入了个人特征与地区特征的控制变量，但仍有可能有一些不可观测、难以度量的因素仍未纳入基准回归进行考虑，导致本文估计结果因为遗漏变量出现偏差。本部分利用工具变量法对内生性问题进行处理。一般而言，工具变量的选取不仅需要满足与残差项无关的排他性条件，还需要满足与内生变量有关的相关性要求，参考杨刚强等（</w:t>
      </w:r>
      <w:r>
        <w:t>2023</w:t>
      </w:r>
      <w:r>
        <w:rPr>
          <w:rFonts w:cs="宋体" w:hint="eastAsia"/>
        </w:rPr>
        <w:t>）和徐邵军等（</w:t>
      </w:r>
      <w:r>
        <w:t>2024</w:t>
      </w:r>
      <w:r>
        <w:rPr>
          <w:rFonts w:cs="宋体" w:hint="eastAsia"/>
        </w:rPr>
        <w:t>）的思路，选择上一年各城市内部开通微博的企业新增数量作为工具变量。在相关性方面，微博作为数字传播与交流的重要平台，显著反映了城市社会信息化和数字经济发展的活跃程度。上一年城市中开通微博的企业数量年增量，能够捕捉到该地区社会网络、线上信息流动以及数字基础设施的提升趋势。当微博企业数量快速增长时，表明城市数字环境更加成熟、信息传播更为高效，从而有助于平台型经济的发展，为外卖平台的进入与扩张提供了良好的数字土壤。因此，微博企业数量的年增量可以作为城市数字经济新业态发展的工具变量，能够有效影响外卖站点数量的变化，符合工具变量的相关性假设。在排他性方面，上一年微博企业的数量年增量并不会直接影响农业转移人口的市民化意愿。农业转移人口的市民化更多受就业机会、公共服务可及性、社会融合程度等因素驱动，而微博企业数量的变动主要反映信息发布和社会媒体传播的能力，其对个体市民化意愿的直接影响十分有限。此外，微博企业开通数量的增长主要服务于企业自身的宣传与客户互动，难以对农业转移人口的居留意愿产生直接激励，符合工具变量的排他性要求。进一步地，本文还构造了一项基于</w:t>
      </w:r>
      <w:r>
        <w:rPr>
          <w:i/>
          <w:iCs/>
        </w:rPr>
        <w:t>Bartik</w:t>
      </w:r>
      <w:r>
        <w:rPr>
          <w:rFonts w:cs="宋体" w:hint="eastAsia"/>
        </w:rPr>
        <w:t>思路的工具变量。具体而言，</w:t>
      </w:r>
      <w:r>
        <w:rPr>
          <w:i/>
          <w:iCs/>
        </w:rPr>
        <w:t>Bartik</w:t>
      </w:r>
      <w:r>
        <w:rPr>
          <w:rFonts w:cs="宋体" w:hint="eastAsia"/>
        </w:rPr>
        <w:t>工具变量由城市层面的结构性特征与全国层面的行业扩张趋势相互交互而成，选取各城市数字经济发展指数和全国上一年外卖配送站点数量增长率构建</w:t>
      </w:r>
      <w:r>
        <w:rPr>
          <w:i/>
          <w:iCs/>
        </w:rPr>
        <w:t>Bartik</w:t>
      </w:r>
      <w:r>
        <w:rPr>
          <w:rFonts w:cs="宋体" w:hint="eastAsia"/>
        </w:rPr>
        <w:t>工具变量，一方面，数字经济指数反映了城市在平台经济发展早期的数字基础与制度环境；另一方面，全国外卖配送站点增长率则代表平台经济扩张过程中所伴随的宏观行业性就业冲击，二者相交互项可捕捉不同城市因全国行业扩张而带来的影响，从而满足</w:t>
      </w:r>
      <w:r>
        <w:t>Bartik</w:t>
      </w:r>
      <w:r>
        <w:rPr>
          <w:rFonts w:cs="宋体" w:hint="eastAsia"/>
        </w:rPr>
        <w:t>工具变量的基本假设。</w:t>
      </w:r>
      <w:bookmarkEnd w:id="23"/>
    </w:p>
    <w:p w14:paraId="3179DECB" w14:textId="77777777" w:rsidR="00492E75" w:rsidRDefault="00000000">
      <w:pPr>
        <w:pStyle w:val="a7"/>
        <w:widowControl/>
        <w:ind w:firstLine="420"/>
      </w:pPr>
      <w:bookmarkStart w:id="24" w:name="正文段落_88"/>
      <w:r>
        <w:rPr>
          <w:rFonts w:cs="宋体" w:hint="eastAsia"/>
        </w:rPr>
        <w:t>表</w:t>
      </w:r>
      <w:r>
        <w:t>5</w:t>
      </w:r>
      <w:r>
        <w:rPr>
          <w:rFonts w:cs="宋体" w:hint="eastAsia"/>
        </w:rPr>
        <w:t>报告了工具变量的二阶段回归结果，列（</w:t>
      </w:r>
      <w:r>
        <w:t>1</w:t>
      </w:r>
      <w:r>
        <w:rPr>
          <w:rFonts w:cs="宋体" w:hint="eastAsia"/>
        </w:rPr>
        <w:t>）与列（</w:t>
      </w:r>
      <w:r>
        <w:t>3</w:t>
      </w:r>
      <w:r>
        <w:rPr>
          <w:rFonts w:cs="宋体" w:hint="eastAsia"/>
        </w:rPr>
        <w:t>）显示，</w:t>
      </w:r>
      <w:r>
        <w:rPr>
          <w:i/>
          <w:iCs/>
        </w:rPr>
        <w:t>IV</w:t>
      </w:r>
      <w:r>
        <w:rPr>
          <w:rFonts w:cs="宋体" w:hint="eastAsia"/>
        </w:rPr>
        <w:t>和</w:t>
      </w:r>
      <w:r>
        <w:rPr>
          <w:i/>
          <w:iCs/>
        </w:rPr>
        <w:t>IV_Bartik</w:t>
      </w:r>
      <w:r>
        <w:rPr>
          <w:rFonts w:cs="宋体" w:hint="eastAsia"/>
        </w:rPr>
        <w:t>的估计系数均在</w:t>
      </w:r>
      <w:r>
        <w:t>1%</w:t>
      </w:r>
      <w:r>
        <w:rPr>
          <w:rFonts w:cs="宋体" w:hint="eastAsia"/>
        </w:rPr>
        <w:t>的水平下显著为正，符合前文相关性逻辑，且统计第一阶段</w:t>
      </w:r>
      <w:r>
        <w:rPr>
          <w:i/>
          <w:iCs/>
        </w:rPr>
        <w:t>KP-F</w:t>
      </w:r>
      <w:r>
        <w:rPr>
          <w:rFonts w:cs="宋体" w:hint="eastAsia"/>
        </w:rPr>
        <w:t>统计值为</w:t>
      </w:r>
      <w:r>
        <w:t>31.4050</w:t>
      </w:r>
      <w:r>
        <w:rPr>
          <w:rFonts w:cs="宋体" w:hint="eastAsia"/>
        </w:rPr>
        <w:t>和</w:t>
      </w:r>
      <w:r>
        <w:t>16.1290</w:t>
      </w:r>
      <w:r>
        <w:rPr>
          <w:rFonts w:cs="宋体" w:hint="eastAsia"/>
        </w:rPr>
        <w:t>，远大于经验法则的临界值</w:t>
      </w:r>
      <w:r>
        <w:t>10</w:t>
      </w:r>
      <w:r>
        <w:rPr>
          <w:rFonts w:cs="宋体" w:hint="eastAsia"/>
        </w:rPr>
        <w:t>，通过了弱工具变量检验；列（</w:t>
      </w:r>
      <w:r>
        <w:t>2</w:t>
      </w:r>
      <w:r>
        <w:rPr>
          <w:rFonts w:cs="宋体" w:hint="eastAsia"/>
        </w:rPr>
        <w:t>）与列（</w:t>
      </w:r>
      <w:r>
        <w:t>4</w:t>
      </w:r>
      <w:r>
        <w:rPr>
          <w:rFonts w:cs="宋体" w:hint="eastAsia"/>
        </w:rPr>
        <w:t>）中，</w:t>
      </w:r>
      <w:r>
        <w:rPr>
          <w:i/>
          <w:iCs/>
        </w:rPr>
        <w:t>KP-LM</w:t>
      </w:r>
      <w:r>
        <w:rPr>
          <w:rFonts w:cs="宋体" w:hint="eastAsia"/>
        </w:rPr>
        <w:t>统计值为</w:t>
      </w:r>
      <w:r>
        <w:t>26.8350</w:t>
      </w:r>
      <w:r>
        <w:rPr>
          <w:rFonts w:cs="宋体" w:hint="eastAsia"/>
        </w:rPr>
        <w:t>和</w:t>
      </w:r>
      <w:r>
        <w:t>16.1290</w:t>
      </w:r>
      <w:r>
        <w:rPr>
          <w:rFonts w:cs="宋体" w:hint="eastAsia"/>
        </w:rPr>
        <w:t>，且均在</w:t>
      </w:r>
      <w:r>
        <w:t>1%</w:t>
      </w:r>
      <w:r>
        <w:rPr>
          <w:rFonts w:cs="宋体" w:hint="eastAsia"/>
        </w:rPr>
        <w:t>水平下显著，工具变量满足可识别性。数字经济新业态估计系数在回归中在保持在</w:t>
      </w:r>
      <w:r>
        <w:t>1%</w:t>
      </w:r>
      <w:r>
        <w:rPr>
          <w:rFonts w:cs="宋体" w:hint="eastAsia"/>
        </w:rPr>
        <w:t>水平下显著为正，数字经济新业态的发展促进农业转移人口的市民化意愿的结论并为发生系统性改变。</w:t>
      </w:r>
      <w:bookmarkEnd w:id="24"/>
    </w:p>
    <w:p w14:paraId="2B64F135" w14:textId="77777777" w:rsidR="00492E75" w:rsidRDefault="00000000">
      <w:pPr>
        <w:pStyle w:val="aa"/>
        <w:spacing w:before="156"/>
      </w:pPr>
      <w:bookmarkStart w:id="25" w:name="中文表序_5"/>
      <w:bookmarkStart w:id="26" w:name="中文表题_10"/>
      <w:r>
        <w:rPr>
          <w:rFonts w:cs="黑体" w:hint="eastAsia"/>
        </w:rPr>
        <w:lastRenderedPageBreak/>
        <w:t>表</w:t>
      </w:r>
      <w:r>
        <w:t>5</w:t>
      </w:r>
      <w:bookmarkEnd w:id="25"/>
      <w:r>
        <w:t xml:space="preserve"> </w:t>
      </w:r>
      <w:r>
        <w:rPr>
          <w:rFonts w:cs="黑体" w:hint="eastAsia"/>
        </w:rPr>
        <w:t>工具变量法</w:t>
      </w:r>
      <w:bookmarkEnd w:id="26"/>
    </w:p>
    <w:tbl>
      <w:tblPr>
        <w:tblStyle w:val="a3"/>
        <w:tblW w:w="4994" w:type="pct"/>
        <w:jc w:val="center"/>
        <w:tblLook w:val="04A0" w:firstRow="1" w:lastRow="0" w:firstColumn="1" w:lastColumn="0" w:noHBand="0" w:noVBand="1"/>
      </w:tblPr>
      <w:tblGrid>
        <w:gridCol w:w="3037"/>
        <w:gridCol w:w="1596"/>
        <w:gridCol w:w="1403"/>
        <w:gridCol w:w="1406"/>
        <w:gridCol w:w="1403"/>
      </w:tblGrid>
      <w:tr w:rsidR="00492E75" w14:paraId="52609F5E" w14:textId="77777777">
        <w:trPr>
          <w:trHeight w:hRule="exact" w:val="317"/>
          <w:jc w:val="center"/>
        </w:trPr>
        <w:tc>
          <w:tcPr>
            <w:tcW w:w="1716" w:type="pct"/>
            <w:vMerge w:val="restart"/>
            <w:tcBorders>
              <w:top w:val="single" w:sz="8" w:space="0" w:color="000000"/>
              <w:left w:val="nil"/>
              <w:bottom w:val="single" w:sz="4" w:space="0" w:color="000000"/>
              <w:right w:val="single" w:sz="4" w:space="0" w:color="000000"/>
            </w:tcBorders>
            <w:vAlign w:val="center"/>
          </w:tcPr>
          <w:p w14:paraId="5A864177" w14:textId="77777777" w:rsidR="00492E75" w:rsidRDefault="00000000">
            <w:pPr>
              <w:spacing w:line="300" w:lineRule="exact"/>
              <w:jc w:val="center"/>
              <w:rPr>
                <w:rFonts w:ascii="Times New Roman" w:hAnsi="Times New Roman" w:cs="Times New Roman"/>
                <w:sz w:val="18"/>
                <w:szCs w:val="18"/>
              </w:rPr>
            </w:pPr>
            <w:bookmarkStart w:id="27" w:name="中文表注_8"/>
            <w:r>
              <w:rPr>
                <w:rFonts w:ascii="Times New Roman" w:eastAsia="宋体" w:hAnsi="Times New Roman" w:cs="Times New Roman"/>
                <w:sz w:val="18"/>
                <w:szCs w:val="18"/>
                <w:lang w:bidi="ar"/>
              </w:rPr>
              <w:t>变量</w:t>
            </w:r>
          </w:p>
        </w:tc>
        <w:tc>
          <w:tcPr>
            <w:tcW w:w="902" w:type="pct"/>
            <w:tcBorders>
              <w:top w:val="single" w:sz="8" w:space="0" w:color="000000"/>
              <w:left w:val="single" w:sz="4" w:space="0" w:color="000000"/>
              <w:bottom w:val="single" w:sz="4" w:space="0" w:color="000000"/>
              <w:right w:val="single" w:sz="4" w:space="0" w:color="000000"/>
            </w:tcBorders>
            <w:vAlign w:val="center"/>
          </w:tcPr>
          <w:p w14:paraId="6B8A4972" w14:textId="77777777" w:rsidR="00492E75" w:rsidRDefault="00000000">
            <w:pPr>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第一阶段结果</w:t>
            </w:r>
          </w:p>
        </w:tc>
        <w:tc>
          <w:tcPr>
            <w:tcW w:w="793" w:type="pct"/>
            <w:tcBorders>
              <w:top w:val="single" w:sz="8" w:space="0" w:color="000000"/>
              <w:left w:val="single" w:sz="4" w:space="0" w:color="000000"/>
              <w:bottom w:val="single" w:sz="4" w:space="0" w:color="000000"/>
              <w:right w:val="nil"/>
            </w:tcBorders>
            <w:vAlign w:val="center"/>
          </w:tcPr>
          <w:p w14:paraId="333084BD" w14:textId="77777777" w:rsidR="00492E75" w:rsidRDefault="00000000">
            <w:pPr>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第二阶段结果</w:t>
            </w:r>
          </w:p>
        </w:tc>
        <w:tc>
          <w:tcPr>
            <w:tcW w:w="795" w:type="pct"/>
            <w:tcBorders>
              <w:top w:val="single" w:sz="8" w:space="0" w:color="000000"/>
              <w:left w:val="single" w:sz="4" w:space="0" w:color="000000"/>
              <w:bottom w:val="single" w:sz="4" w:space="0" w:color="000000"/>
              <w:right w:val="nil"/>
            </w:tcBorders>
            <w:vAlign w:val="center"/>
          </w:tcPr>
          <w:p w14:paraId="676116E8" w14:textId="77777777" w:rsidR="00492E75" w:rsidRDefault="00000000">
            <w:pPr>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第一阶段结果</w:t>
            </w:r>
          </w:p>
        </w:tc>
        <w:tc>
          <w:tcPr>
            <w:tcW w:w="793" w:type="pct"/>
            <w:tcBorders>
              <w:top w:val="single" w:sz="8" w:space="0" w:color="000000"/>
              <w:left w:val="single" w:sz="4" w:space="0" w:color="000000"/>
              <w:bottom w:val="single" w:sz="4" w:space="0" w:color="000000"/>
              <w:right w:val="nil"/>
            </w:tcBorders>
            <w:vAlign w:val="center"/>
          </w:tcPr>
          <w:p w14:paraId="12B8B0BB" w14:textId="77777777" w:rsidR="00492E75" w:rsidRDefault="00000000">
            <w:pPr>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第二阶段结果</w:t>
            </w:r>
          </w:p>
        </w:tc>
      </w:tr>
      <w:tr w:rsidR="00492E75" w14:paraId="03994ECE" w14:textId="77777777">
        <w:trPr>
          <w:trHeight w:hRule="exact" w:val="317"/>
          <w:jc w:val="center"/>
        </w:trPr>
        <w:tc>
          <w:tcPr>
            <w:tcW w:w="1716" w:type="pct"/>
            <w:vMerge/>
            <w:tcBorders>
              <w:top w:val="single" w:sz="8" w:space="0" w:color="000000"/>
              <w:left w:val="nil"/>
              <w:bottom w:val="single" w:sz="4" w:space="0" w:color="000000"/>
              <w:right w:val="single" w:sz="4" w:space="0" w:color="000000"/>
            </w:tcBorders>
            <w:vAlign w:val="center"/>
          </w:tcPr>
          <w:p w14:paraId="5FCEC425" w14:textId="77777777" w:rsidR="00492E75" w:rsidRDefault="00492E75">
            <w:pPr>
              <w:rPr>
                <w:rFonts w:ascii="Times New Roman" w:hAnsi="Times New Roman" w:cs="Times New Roman"/>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14:paraId="1A47A7F8" w14:textId="77777777" w:rsidR="00492E75" w:rsidRDefault="00000000">
            <w:pPr>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w:t>
            </w:r>
            <w:r>
              <w:rPr>
                <w:rFonts w:ascii="Times New Roman" w:eastAsia="宋体" w:hAnsi="Times New Roman" w:cs="Times New Roman"/>
                <w:sz w:val="18"/>
                <w:szCs w:val="18"/>
                <w:lang w:bidi="ar"/>
              </w:rPr>
              <w:t>1</w:t>
            </w:r>
            <w:r>
              <w:rPr>
                <w:rFonts w:ascii="Times New Roman" w:eastAsia="宋体" w:hAnsi="Times New Roman" w:cs="Times New Roman"/>
                <w:sz w:val="18"/>
                <w:szCs w:val="18"/>
                <w:lang w:bidi="ar"/>
              </w:rPr>
              <w:t>）</w:t>
            </w:r>
          </w:p>
        </w:tc>
        <w:tc>
          <w:tcPr>
            <w:tcW w:w="793" w:type="pct"/>
            <w:tcBorders>
              <w:top w:val="single" w:sz="4" w:space="0" w:color="000000"/>
              <w:left w:val="single" w:sz="4" w:space="0" w:color="000000"/>
              <w:bottom w:val="single" w:sz="4" w:space="0" w:color="000000"/>
              <w:right w:val="nil"/>
            </w:tcBorders>
            <w:vAlign w:val="center"/>
          </w:tcPr>
          <w:p w14:paraId="4A03977B" w14:textId="77777777" w:rsidR="00492E75" w:rsidRDefault="00000000">
            <w:pPr>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w:t>
            </w:r>
            <w:r>
              <w:rPr>
                <w:rFonts w:ascii="Times New Roman" w:eastAsia="宋体" w:hAnsi="Times New Roman" w:cs="Times New Roman"/>
                <w:sz w:val="18"/>
                <w:szCs w:val="18"/>
                <w:lang w:bidi="ar"/>
              </w:rPr>
              <w:t>2</w:t>
            </w:r>
            <w:r>
              <w:rPr>
                <w:rFonts w:ascii="Times New Roman" w:eastAsia="宋体" w:hAnsi="Times New Roman" w:cs="Times New Roman"/>
                <w:sz w:val="18"/>
                <w:szCs w:val="18"/>
                <w:lang w:bidi="ar"/>
              </w:rPr>
              <w:t>）</w:t>
            </w:r>
          </w:p>
        </w:tc>
        <w:tc>
          <w:tcPr>
            <w:tcW w:w="795" w:type="pct"/>
            <w:tcBorders>
              <w:top w:val="single" w:sz="4" w:space="0" w:color="000000"/>
              <w:left w:val="single" w:sz="4" w:space="0" w:color="000000"/>
              <w:bottom w:val="single" w:sz="4" w:space="0" w:color="000000"/>
              <w:right w:val="nil"/>
            </w:tcBorders>
            <w:vAlign w:val="center"/>
          </w:tcPr>
          <w:p w14:paraId="06D720FB" w14:textId="77777777" w:rsidR="00492E75" w:rsidRDefault="00000000">
            <w:pPr>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w:t>
            </w:r>
            <w:r>
              <w:rPr>
                <w:rFonts w:ascii="Times New Roman" w:eastAsia="宋体" w:hAnsi="Times New Roman" w:cs="Times New Roman"/>
                <w:sz w:val="18"/>
                <w:szCs w:val="18"/>
                <w:lang w:bidi="ar"/>
              </w:rPr>
              <w:t>3</w:t>
            </w:r>
            <w:r>
              <w:rPr>
                <w:rFonts w:ascii="Times New Roman" w:eastAsia="宋体" w:hAnsi="Times New Roman" w:cs="Times New Roman"/>
                <w:sz w:val="18"/>
                <w:szCs w:val="18"/>
                <w:lang w:bidi="ar"/>
              </w:rPr>
              <w:t>）</w:t>
            </w:r>
          </w:p>
        </w:tc>
        <w:tc>
          <w:tcPr>
            <w:tcW w:w="793" w:type="pct"/>
            <w:tcBorders>
              <w:top w:val="single" w:sz="4" w:space="0" w:color="000000"/>
              <w:left w:val="single" w:sz="4" w:space="0" w:color="000000"/>
              <w:bottom w:val="single" w:sz="4" w:space="0" w:color="000000"/>
              <w:right w:val="nil"/>
            </w:tcBorders>
            <w:vAlign w:val="center"/>
          </w:tcPr>
          <w:p w14:paraId="0618E1C1" w14:textId="77777777" w:rsidR="00492E75" w:rsidRDefault="00000000">
            <w:pPr>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w:t>
            </w:r>
            <w:r>
              <w:rPr>
                <w:rFonts w:ascii="Times New Roman" w:eastAsia="宋体" w:hAnsi="Times New Roman" w:cs="Times New Roman"/>
                <w:sz w:val="18"/>
                <w:szCs w:val="18"/>
                <w:lang w:bidi="ar"/>
              </w:rPr>
              <w:t>4</w:t>
            </w:r>
            <w:r>
              <w:rPr>
                <w:rFonts w:ascii="Times New Roman" w:eastAsia="宋体" w:hAnsi="Times New Roman" w:cs="Times New Roman"/>
                <w:sz w:val="18"/>
                <w:szCs w:val="18"/>
                <w:lang w:bidi="ar"/>
              </w:rPr>
              <w:t>）</w:t>
            </w:r>
          </w:p>
        </w:tc>
      </w:tr>
      <w:tr w:rsidR="00492E75" w14:paraId="1890A693" w14:textId="77777777">
        <w:trPr>
          <w:trHeight w:hRule="exact" w:val="317"/>
          <w:jc w:val="center"/>
        </w:trPr>
        <w:tc>
          <w:tcPr>
            <w:tcW w:w="1716" w:type="pct"/>
            <w:vMerge/>
            <w:tcBorders>
              <w:top w:val="single" w:sz="8" w:space="0" w:color="000000"/>
              <w:left w:val="nil"/>
              <w:bottom w:val="single" w:sz="4" w:space="0" w:color="000000"/>
              <w:right w:val="single" w:sz="4" w:space="0" w:color="000000"/>
            </w:tcBorders>
            <w:vAlign w:val="center"/>
          </w:tcPr>
          <w:p w14:paraId="2B70F653" w14:textId="77777777" w:rsidR="00492E75" w:rsidRDefault="00492E75">
            <w:pPr>
              <w:rPr>
                <w:rFonts w:ascii="Times New Roman" w:hAnsi="Times New Roman" w:cs="Times New Roman"/>
                <w:sz w:val="20"/>
                <w:szCs w:val="20"/>
              </w:rPr>
            </w:pPr>
          </w:p>
        </w:tc>
        <w:tc>
          <w:tcPr>
            <w:tcW w:w="902" w:type="pct"/>
            <w:tcBorders>
              <w:top w:val="single" w:sz="4" w:space="0" w:color="000000"/>
              <w:left w:val="single" w:sz="4" w:space="0" w:color="000000"/>
              <w:bottom w:val="single" w:sz="4" w:space="0" w:color="000000"/>
              <w:right w:val="single" w:sz="4" w:space="0" w:color="000000"/>
            </w:tcBorders>
            <w:vAlign w:val="center"/>
          </w:tcPr>
          <w:p w14:paraId="27A69E8D" w14:textId="77777777" w:rsidR="00492E75" w:rsidRDefault="00000000">
            <w:pPr>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数字经济新业态</w:t>
            </w:r>
          </w:p>
        </w:tc>
        <w:tc>
          <w:tcPr>
            <w:tcW w:w="793" w:type="pct"/>
            <w:tcBorders>
              <w:top w:val="single" w:sz="4" w:space="0" w:color="000000"/>
              <w:left w:val="single" w:sz="4" w:space="0" w:color="000000"/>
              <w:bottom w:val="single" w:sz="4" w:space="0" w:color="000000"/>
              <w:right w:val="nil"/>
            </w:tcBorders>
            <w:vAlign w:val="center"/>
          </w:tcPr>
          <w:p w14:paraId="3E1D5D3E" w14:textId="77777777" w:rsidR="00492E75" w:rsidRDefault="00000000">
            <w:pPr>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市民化意愿</w:t>
            </w:r>
          </w:p>
        </w:tc>
        <w:tc>
          <w:tcPr>
            <w:tcW w:w="795" w:type="pct"/>
            <w:tcBorders>
              <w:top w:val="single" w:sz="4" w:space="0" w:color="000000"/>
              <w:left w:val="single" w:sz="4" w:space="0" w:color="000000"/>
              <w:bottom w:val="single" w:sz="4" w:space="0" w:color="000000"/>
              <w:right w:val="nil"/>
            </w:tcBorders>
            <w:vAlign w:val="center"/>
          </w:tcPr>
          <w:p w14:paraId="078EDB15" w14:textId="77777777" w:rsidR="00492E75" w:rsidRDefault="00000000">
            <w:pPr>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数字经济新业态</w:t>
            </w:r>
          </w:p>
        </w:tc>
        <w:tc>
          <w:tcPr>
            <w:tcW w:w="793" w:type="pct"/>
            <w:tcBorders>
              <w:top w:val="single" w:sz="4" w:space="0" w:color="000000"/>
              <w:left w:val="single" w:sz="4" w:space="0" w:color="000000"/>
              <w:bottom w:val="single" w:sz="4" w:space="0" w:color="000000"/>
              <w:right w:val="nil"/>
            </w:tcBorders>
            <w:vAlign w:val="center"/>
          </w:tcPr>
          <w:p w14:paraId="0E777A04" w14:textId="77777777" w:rsidR="00492E75" w:rsidRDefault="00000000">
            <w:pPr>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市民化意愿</w:t>
            </w:r>
          </w:p>
        </w:tc>
      </w:tr>
      <w:tr w:rsidR="00492E75" w14:paraId="703D05BE" w14:textId="77777777">
        <w:trPr>
          <w:trHeight w:hRule="exact" w:val="317"/>
          <w:jc w:val="center"/>
        </w:trPr>
        <w:tc>
          <w:tcPr>
            <w:tcW w:w="1716" w:type="pct"/>
            <w:vMerge w:val="restart"/>
            <w:tcBorders>
              <w:top w:val="single" w:sz="4" w:space="0" w:color="000000"/>
              <w:left w:val="nil"/>
              <w:bottom w:val="nil"/>
              <w:right w:val="single" w:sz="4" w:space="0" w:color="000000"/>
            </w:tcBorders>
            <w:vAlign w:val="center"/>
          </w:tcPr>
          <w:p w14:paraId="005314F2" w14:textId="77777777" w:rsidR="00492E75" w:rsidRDefault="00000000">
            <w:pPr>
              <w:spacing w:line="300" w:lineRule="exact"/>
              <w:jc w:val="center"/>
              <w:rPr>
                <w:rFonts w:ascii="Times New Roman" w:hAnsi="Times New Roman" w:cs="Times New Roman"/>
                <w:i/>
                <w:iCs/>
                <w:sz w:val="18"/>
                <w:szCs w:val="18"/>
              </w:rPr>
            </w:pPr>
            <w:r>
              <w:rPr>
                <w:rFonts w:ascii="Times New Roman" w:eastAsia="宋体" w:hAnsi="Times New Roman" w:cs="Times New Roman"/>
                <w:sz w:val="18"/>
                <w:szCs w:val="18"/>
                <w:lang w:bidi="ar"/>
              </w:rPr>
              <w:t>工具变量</w:t>
            </w:r>
          </w:p>
        </w:tc>
        <w:tc>
          <w:tcPr>
            <w:tcW w:w="902" w:type="pct"/>
            <w:tcBorders>
              <w:top w:val="single" w:sz="4" w:space="0" w:color="000000"/>
              <w:left w:val="single" w:sz="4" w:space="0" w:color="000000"/>
              <w:bottom w:val="nil"/>
              <w:right w:val="single" w:sz="4" w:space="0" w:color="000000"/>
            </w:tcBorders>
          </w:tcPr>
          <w:p w14:paraId="0E573C98" w14:textId="77777777" w:rsidR="00492E75" w:rsidRDefault="00000000">
            <w:pPr>
              <w:widowControl/>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0. 1861</w:t>
            </w:r>
            <w:r>
              <w:rPr>
                <w:rFonts w:ascii="Times New Roman" w:eastAsia="宋体" w:hAnsi="Times New Roman" w:cs="Times New Roman"/>
                <w:sz w:val="18"/>
                <w:szCs w:val="18"/>
                <w:vertAlign w:val="superscript"/>
                <w:lang w:bidi="ar"/>
              </w:rPr>
              <w:t>***</w:t>
            </w:r>
          </w:p>
        </w:tc>
        <w:tc>
          <w:tcPr>
            <w:tcW w:w="793" w:type="pct"/>
            <w:tcBorders>
              <w:top w:val="single" w:sz="4" w:space="0" w:color="000000"/>
              <w:left w:val="single" w:sz="4" w:space="0" w:color="000000"/>
              <w:bottom w:val="nil"/>
              <w:right w:val="nil"/>
            </w:tcBorders>
            <w:vAlign w:val="center"/>
          </w:tcPr>
          <w:p w14:paraId="43BC3AEF" w14:textId="77777777" w:rsidR="00492E75" w:rsidRDefault="00492E75">
            <w:pPr>
              <w:widowControl/>
              <w:spacing w:line="300" w:lineRule="exact"/>
              <w:jc w:val="center"/>
              <w:rPr>
                <w:rFonts w:ascii="Times New Roman" w:hAnsi="Times New Roman" w:cs="Times New Roman"/>
                <w:sz w:val="18"/>
                <w:szCs w:val="18"/>
              </w:rPr>
            </w:pPr>
          </w:p>
        </w:tc>
        <w:tc>
          <w:tcPr>
            <w:tcW w:w="795" w:type="pct"/>
            <w:tcBorders>
              <w:top w:val="single" w:sz="4" w:space="0" w:color="000000"/>
              <w:left w:val="single" w:sz="4" w:space="0" w:color="000000"/>
              <w:bottom w:val="nil"/>
              <w:right w:val="nil"/>
            </w:tcBorders>
          </w:tcPr>
          <w:p w14:paraId="272DAF02" w14:textId="77777777" w:rsidR="00492E75" w:rsidRDefault="00492E75">
            <w:pPr>
              <w:widowControl/>
              <w:spacing w:line="300" w:lineRule="exact"/>
              <w:jc w:val="center"/>
              <w:rPr>
                <w:rFonts w:ascii="Times New Roman" w:hAnsi="Times New Roman" w:cs="Times New Roman"/>
                <w:sz w:val="18"/>
                <w:szCs w:val="18"/>
              </w:rPr>
            </w:pPr>
          </w:p>
        </w:tc>
        <w:tc>
          <w:tcPr>
            <w:tcW w:w="793" w:type="pct"/>
            <w:tcBorders>
              <w:top w:val="single" w:sz="4" w:space="0" w:color="000000"/>
              <w:left w:val="single" w:sz="4" w:space="0" w:color="000000"/>
              <w:bottom w:val="nil"/>
              <w:right w:val="nil"/>
            </w:tcBorders>
            <w:vAlign w:val="center"/>
          </w:tcPr>
          <w:p w14:paraId="1E9FB705" w14:textId="77777777" w:rsidR="00492E75" w:rsidRDefault="00492E75">
            <w:pPr>
              <w:widowControl/>
              <w:spacing w:line="300" w:lineRule="exact"/>
              <w:jc w:val="center"/>
              <w:rPr>
                <w:rFonts w:ascii="Times New Roman" w:hAnsi="Times New Roman" w:cs="Times New Roman"/>
                <w:sz w:val="18"/>
                <w:szCs w:val="18"/>
              </w:rPr>
            </w:pPr>
          </w:p>
        </w:tc>
      </w:tr>
      <w:tr w:rsidR="00492E75" w14:paraId="3AA6557D" w14:textId="77777777">
        <w:trPr>
          <w:trHeight w:hRule="exact" w:val="317"/>
          <w:jc w:val="center"/>
        </w:trPr>
        <w:tc>
          <w:tcPr>
            <w:tcW w:w="1716" w:type="pct"/>
            <w:vMerge/>
            <w:tcBorders>
              <w:top w:val="single" w:sz="4" w:space="0" w:color="000000"/>
              <w:left w:val="nil"/>
              <w:bottom w:val="nil"/>
              <w:right w:val="single" w:sz="4" w:space="0" w:color="000000"/>
            </w:tcBorders>
            <w:vAlign w:val="center"/>
          </w:tcPr>
          <w:p w14:paraId="70123C70" w14:textId="77777777" w:rsidR="00492E75" w:rsidRDefault="00492E75">
            <w:pPr>
              <w:rPr>
                <w:rFonts w:ascii="Times New Roman" w:hAnsi="Times New Roman" w:cs="Times New Roman"/>
                <w:sz w:val="20"/>
                <w:szCs w:val="20"/>
              </w:rPr>
            </w:pPr>
          </w:p>
        </w:tc>
        <w:tc>
          <w:tcPr>
            <w:tcW w:w="902" w:type="pct"/>
            <w:tcBorders>
              <w:top w:val="nil"/>
              <w:left w:val="single" w:sz="4" w:space="0" w:color="000000"/>
              <w:bottom w:val="nil"/>
              <w:right w:val="single" w:sz="4" w:space="0" w:color="000000"/>
            </w:tcBorders>
          </w:tcPr>
          <w:p w14:paraId="06A57C9E" w14:textId="77777777" w:rsidR="00492E75" w:rsidRDefault="00000000">
            <w:pPr>
              <w:widowControl/>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(0 .0332)</w:t>
            </w:r>
          </w:p>
        </w:tc>
        <w:tc>
          <w:tcPr>
            <w:tcW w:w="793" w:type="pct"/>
            <w:tcBorders>
              <w:top w:val="nil"/>
              <w:left w:val="single" w:sz="4" w:space="0" w:color="000000"/>
              <w:bottom w:val="nil"/>
              <w:right w:val="nil"/>
            </w:tcBorders>
            <w:vAlign w:val="center"/>
          </w:tcPr>
          <w:p w14:paraId="15AA6A7B" w14:textId="77777777" w:rsidR="00492E75" w:rsidRDefault="00492E75">
            <w:pPr>
              <w:widowControl/>
              <w:spacing w:line="300" w:lineRule="exact"/>
              <w:jc w:val="center"/>
              <w:rPr>
                <w:rFonts w:ascii="Times New Roman" w:hAnsi="Times New Roman" w:cs="Times New Roman"/>
                <w:sz w:val="18"/>
                <w:szCs w:val="18"/>
              </w:rPr>
            </w:pPr>
          </w:p>
        </w:tc>
        <w:tc>
          <w:tcPr>
            <w:tcW w:w="795" w:type="pct"/>
            <w:tcBorders>
              <w:top w:val="nil"/>
              <w:left w:val="single" w:sz="4" w:space="0" w:color="000000"/>
              <w:bottom w:val="nil"/>
              <w:right w:val="nil"/>
            </w:tcBorders>
          </w:tcPr>
          <w:p w14:paraId="45C3A32F" w14:textId="77777777" w:rsidR="00492E75" w:rsidRDefault="00492E75">
            <w:pPr>
              <w:widowControl/>
              <w:spacing w:line="300" w:lineRule="exact"/>
              <w:jc w:val="center"/>
              <w:rPr>
                <w:rFonts w:ascii="Times New Roman" w:hAnsi="Times New Roman" w:cs="Times New Roman"/>
                <w:sz w:val="18"/>
                <w:szCs w:val="18"/>
              </w:rPr>
            </w:pPr>
          </w:p>
        </w:tc>
        <w:tc>
          <w:tcPr>
            <w:tcW w:w="793" w:type="pct"/>
            <w:tcBorders>
              <w:top w:val="nil"/>
              <w:left w:val="single" w:sz="4" w:space="0" w:color="000000"/>
              <w:bottom w:val="nil"/>
              <w:right w:val="nil"/>
            </w:tcBorders>
            <w:vAlign w:val="center"/>
          </w:tcPr>
          <w:p w14:paraId="7D582C3F" w14:textId="77777777" w:rsidR="00492E75" w:rsidRDefault="00492E75">
            <w:pPr>
              <w:widowControl/>
              <w:spacing w:line="300" w:lineRule="exact"/>
              <w:jc w:val="center"/>
              <w:rPr>
                <w:rFonts w:ascii="Times New Roman" w:hAnsi="Times New Roman" w:cs="Times New Roman"/>
                <w:sz w:val="18"/>
                <w:szCs w:val="18"/>
              </w:rPr>
            </w:pPr>
          </w:p>
        </w:tc>
      </w:tr>
      <w:tr w:rsidR="00492E75" w14:paraId="2D20EED7" w14:textId="77777777">
        <w:trPr>
          <w:trHeight w:hRule="exact" w:val="317"/>
          <w:jc w:val="center"/>
        </w:trPr>
        <w:tc>
          <w:tcPr>
            <w:tcW w:w="1716" w:type="pct"/>
            <w:vMerge w:val="restart"/>
            <w:tcBorders>
              <w:top w:val="nil"/>
              <w:left w:val="nil"/>
              <w:bottom w:val="nil"/>
              <w:right w:val="single" w:sz="4" w:space="0" w:color="000000"/>
            </w:tcBorders>
            <w:vAlign w:val="center"/>
          </w:tcPr>
          <w:p w14:paraId="1A2A65C5" w14:textId="77777777" w:rsidR="00492E75" w:rsidRDefault="00000000">
            <w:pPr>
              <w:spacing w:line="300" w:lineRule="exact"/>
              <w:jc w:val="center"/>
              <w:rPr>
                <w:rFonts w:ascii="Times New Roman" w:hAnsi="Times New Roman" w:cs="Times New Roman"/>
                <w:i/>
                <w:iCs/>
                <w:sz w:val="18"/>
                <w:szCs w:val="18"/>
              </w:rPr>
            </w:pPr>
            <w:r>
              <w:rPr>
                <w:rFonts w:ascii="Times New Roman" w:eastAsia="宋体" w:hAnsi="Times New Roman" w:cs="Times New Roman"/>
                <w:i/>
                <w:iCs/>
                <w:sz w:val="18"/>
                <w:szCs w:val="18"/>
                <w:lang w:bidi="ar"/>
              </w:rPr>
              <w:t>Bartik</w:t>
            </w:r>
            <w:r>
              <w:rPr>
                <w:rFonts w:ascii="Times New Roman" w:eastAsia="宋体" w:hAnsi="Times New Roman" w:cs="Times New Roman"/>
                <w:sz w:val="18"/>
                <w:szCs w:val="18"/>
                <w:lang w:bidi="ar"/>
              </w:rPr>
              <w:t>工具变量</w:t>
            </w:r>
          </w:p>
        </w:tc>
        <w:tc>
          <w:tcPr>
            <w:tcW w:w="902" w:type="pct"/>
            <w:tcBorders>
              <w:top w:val="nil"/>
              <w:left w:val="single" w:sz="4" w:space="0" w:color="000000"/>
              <w:bottom w:val="nil"/>
              <w:right w:val="single" w:sz="4" w:space="0" w:color="000000"/>
            </w:tcBorders>
          </w:tcPr>
          <w:p w14:paraId="678EE35F" w14:textId="77777777" w:rsidR="00492E75" w:rsidRDefault="00492E75">
            <w:pPr>
              <w:widowControl/>
              <w:spacing w:line="300" w:lineRule="exact"/>
              <w:jc w:val="center"/>
              <w:rPr>
                <w:rFonts w:ascii="Times New Roman" w:hAnsi="Times New Roman" w:cs="Times New Roman"/>
                <w:sz w:val="18"/>
                <w:szCs w:val="18"/>
              </w:rPr>
            </w:pPr>
          </w:p>
        </w:tc>
        <w:tc>
          <w:tcPr>
            <w:tcW w:w="793" w:type="pct"/>
            <w:tcBorders>
              <w:top w:val="nil"/>
              <w:left w:val="single" w:sz="4" w:space="0" w:color="000000"/>
              <w:bottom w:val="nil"/>
              <w:right w:val="nil"/>
            </w:tcBorders>
            <w:vAlign w:val="center"/>
          </w:tcPr>
          <w:p w14:paraId="6FB5A52D" w14:textId="77777777" w:rsidR="00492E75" w:rsidRDefault="00492E75">
            <w:pPr>
              <w:widowControl/>
              <w:spacing w:line="300" w:lineRule="exact"/>
              <w:jc w:val="center"/>
              <w:rPr>
                <w:rFonts w:ascii="Times New Roman" w:hAnsi="Times New Roman" w:cs="Times New Roman"/>
                <w:sz w:val="18"/>
                <w:szCs w:val="18"/>
              </w:rPr>
            </w:pPr>
          </w:p>
        </w:tc>
        <w:tc>
          <w:tcPr>
            <w:tcW w:w="795" w:type="pct"/>
            <w:tcBorders>
              <w:top w:val="nil"/>
              <w:left w:val="single" w:sz="4" w:space="0" w:color="000000"/>
              <w:bottom w:val="nil"/>
              <w:right w:val="nil"/>
            </w:tcBorders>
          </w:tcPr>
          <w:p w14:paraId="268E9E3E" w14:textId="77777777" w:rsidR="00492E75" w:rsidRDefault="00000000">
            <w:pPr>
              <w:widowControl/>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0.0092</w:t>
            </w:r>
            <w:r>
              <w:rPr>
                <w:rFonts w:ascii="Times New Roman" w:eastAsia="宋体" w:hAnsi="Times New Roman" w:cs="Times New Roman"/>
                <w:sz w:val="18"/>
                <w:szCs w:val="18"/>
                <w:vertAlign w:val="superscript"/>
                <w:lang w:bidi="ar"/>
              </w:rPr>
              <w:t>***</w:t>
            </w:r>
          </w:p>
        </w:tc>
        <w:tc>
          <w:tcPr>
            <w:tcW w:w="793" w:type="pct"/>
            <w:tcBorders>
              <w:top w:val="nil"/>
              <w:left w:val="single" w:sz="4" w:space="0" w:color="000000"/>
              <w:bottom w:val="nil"/>
              <w:right w:val="nil"/>
            </w:tcBorders>
            <w:vAlign w:val="center"/>
          </w:tcPr>
          <w:p w14:paraId="485983C5" w14:textId="77777777" w:rsidR="00492E75" w:rsidRDefault="00492E75">
            <w:pPr>
              <w:widowControl/>
              <w:spacing w:line="300" w:lineRule="exact"/>
              <w:jc w:val="center"/>
              <w:rPr>
                <w:rFonts w:ascii="Times New Roman" w:hAnsi="Times New Roman" w:cs="Times New Roman"/>
                <w:sz w:val="18"/>
                <w:szCs w:val="18"/>
              </w:rPr>
            </w:pPr>
          </w:p>
        </w:tc>
      </w:tr>
      <w:tr w:rsidR="00492E75" w14:paraId="1F5E32B2" w14:textId="77777777">
        <w:trPr>
          <w:trHeight w:hRule="exact" w:val="317"/>
          <w:jc w:val="center"/>
        </w:trPr>
        <w:tc>
          <w:tcPr>
            <w:tcW w:w="1716" w:type="pct"/>
            <w:vMerge/>
            <w:tcBorders>
              <w:top w:val="nil"/>
              <w:left w:val="nil"/>
              <w:bottom w:val="nil"/>
              <w:right w:val="single" w:sz="4" w:space="0" w:color="000000"/>
            </w:tcBorders>
            <w:vAlign w:val="center"/>
          </w:tcPr>
          <w:p w14:paraId="63777283" w14:textId="77777777" w:rsidR="00492E75" w:rsidRDefault="00492E75">
            <w:pPr>
              <w:rPr>
                <w:rFonts w:ascii="Times New Roman" w:hAnsi="Times New Roman" w:cs="Times New Roman"/>
                <w:sz w:val="20"/>
                <w:szCs w:val="20"/>
              </w:rPr>
            </w:pPr>
          </w:p>
        </w:tc>
        <w:tc>
          <w:tcPr>
            <w:tcW w:w="902" w:type="pct"/>
            <w:tcBorders>
              <w:top w:val="nil"/>
              <w:left w:val="single" w:sz="4" w:space="0" w:color="000000"/>
              <w:bottom w:val="nil"/>
              <w:right w:val="single" w:sz="4" w:space="0" w:color="000000"/>
            </w:tcBorders>
          </w:tcPr>
          <w:p w14:paraId="78710592" w14:textId="77777777" w:rsidR="00492E75" w:rsidRDefault="00492E75">
            <w:pPr>
              <w:widowControl/>
              <w:spacing w:line="300" w:lineRule="exact"/>
              <w:jc w:val="center"/>
              <w:rPr>
                <w:rFonts w:ascii="Times New Roman" w:hAnsi="Times New Roman" w:cs="Times New Roman"/>
                <w:sz w:val="18"/>
                <w:szCs w:val="18"/>
              </w:rPr>
            </w:pPr>
          </w:p>
        </w:tc>
        <w:tc>
          <w:tcPr>
            <w:tcW w:w="793" w:type="pct"/>
            <w:tcBorders>
              <w:top w:val="nil"/>
              <w:left w:val="single" w:sz="4" w:space="0" w:color="000000"/>
              <w:bottom w:val="nil"/>
              <w:right w:val="nil"/>
            </w:tcBorders>
            <w:vAlign w:val="center"/>
          </w:tcPr>
          <w:p w14:paraId="22EFA727" w14:textId="77777777" w:rsidR="00492E75" w:rsidRDefault="00492E75">
            <w:pPr>
              <w:widowControl/>
              <w:spacing w:line="300" w:lineRule="exact"/>
              <w:jc w:val="center"/>
              <w:rPr>
                <w:rFonts w:ascii="Times New Roman" w:hAnsi="Times New Roman" w:cs="Times New Roman"/>
                <w:sz w:val="18"/>
                <w:szCs w:val="18"/>
              </w:rPr>
            </w:pPr>
          </w:p>
        </w:tc>
        <w:tc>
          <w:tcPr>
            <w:tcW w:w="795" w:type="pct"/>
            <w:tcBorders>
              <w:top w:val="nil"/>
              <w:left w:val="single" w:sz="4" w:space="0" w:color="000000"/>
              <w:bottom w:val="nil"/>
              <w:right w:val="nil"/>
            </w:tcBorders>
          </w:tcPr>
          <w:p w14:paraId="5EEC5969" w14:textId="77777777" w:rsidR="00492E75" w:rsidRDefault="00000000">
            <w:pPr>
              <w:widowControl/>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(0.0023)</w:t>
            </w:r>
          </w:p>
        </w:tc>
        <w:tc>
          <w:tcPr>
            <w:tcW w:w="793" w:type="pct"/>
            <w:tcBorders>
              <w:top w:val="nil"/>
              <w:left w:val="single" w:sz="4" w:space="0" w:color="000000"/>
              <w:bottom w:val="nil"/>
              <w:right w:val="nil"/>
            </w:tcBorders>
            <w:vAlign w:val="center"/>
          </w:tcPr>
          <w:p w14:paraId="2C2EED9C" w14:textId="77777777" w:rsidR="00492E75" w:rsidRDefault="00492E75">
            <w:pPr>
              <w:widowControl/>
              <w:spacing w:line="300" w:lineRule="exact"/>
              <w:jc w:val="center"/>
              <w:rPr>
                <w:rFonts w:ascii="Times New Roman" w:hAnsi="Times New Roman" w:cs="Times New Roman"/>
                <w:sz w:val="18"/>
                <w:szCs w:val="18"/>
              </w:rPr>
            </w:pPr>
          </w:p>
        </w:tc>
      </w:tr>
      <w:tr w:rsidR="00492E75" w14:paraId="14C3EC55" w14:textId="77777777">
        <w:trPr>
          <w:trHeight w:hRule="exact" w:val="317"/>
          <w:jc w:val="center"/>
        </w:trPr>
        <w:tc>
          <w:tcPr>
            <w:tcW w:w="1716" w:type="pct"/>
            <w:vMerge w:val="restart"/>
            <w:tcBorders>
              <w:top w:val="nil"/>
              <w:left w:val="nil"/>
              <w:bottom w:val="nil"/>
              <w:right w:val="single" w:sz="4" w:space="0" w:color="000000"/>
            </w:tcBorders>
            <w:vAlign w:val="center"/>
          </w:tcPr>
          <w:p w14:paraId="7BCB92E7" w14:textId="77777777" w:rsidR="00492E75" w:rsidRDefault="00000000">
            <w:pPr>
              <w:spacing w:line="300" w:lineRule="exact"/>
              <w:jc w:val="center"/>
              <w:rPr>
                <w:rFonts w:ascii="Times New Roman" w:hAnsi="Times New Roman" w:cs="Times New Roman"/>
                <w:i/>
                <w:iCs/>
                <w:sz w:val="18"/>
                <w:szCs w:val="18"/>
              </w:rPr>
            </w:pPr>
            <w:r>
              <w:rPr>
                <w:rFonts w:ascii="Times New Roman" w:eastAsia="宋体" w:hAnsi="Times New Roman" w:cs="Times New Roman"/>
                <w:sz w:val="18"/>
                <w:szCs w:val="18"/>
                <w:lang w:bidi="ar"/>
              </w:rPr>
              <w:t>数字经济新业态</w:t>
            </w:r>
          </w:p>
        </w:tc>
        <w:tc>
          <w:tcPr>
            <w:tcW w:w="902" w:type="pct"/>
            <w:tcBorders>
              <w:top w:val="nil"/>
              <w:left w:val="single" w:sz="4" w:space="0" w:color="000000"/>
              <w:bottom w:val="nil"/>
              <w:right w:val="single" w:sz="4" w:space="0" w:color="000000"/>
            </w:tcBorders>
            <w:vAlign w:val="center"/>
          </w:tcPr>
          <w:p w14:paraId="4BCFA99E" w14:textId="77777777" w:rsidR="00492E75" w:rsidRDefault="00492E75">
            <w:pPr>
              <w:widowControl/>
              <w:spacing w:line="300" w:lineRule="exact"/>
              <w:jc w:val="center"/>
              <w:rPr>
                <w:rFonts w:ascii="Times New Roman" w:hAnsi="Times New Roman" w:cs="Times New Roman"/>
                <w:sz w:val="18"/>
                <w:szCs w:val="18"/>
              </w:rPr>
            </w:pPr>
          </w:p>
        </w:tc>
        <w:tc>
          <w:tcPr>
            <w:tcW w:w="793" w:type="pct"/>
            <w:tcBorders>
              <w:top w:val="nil"/>
              <w:left w:val="single" w:sz="4" w:space="0" w:color="000000"/>
              <w:bottom w:val="nil"/>
              <w:right w:val="nil"/>
            </w:tcBorders>
          </w:tcPr>
          <w:p w14:paraId="78AAFC6B" w14:textId="77777777" w:rsidR="00492E75" w:rsidRDefault="00000000">
            <w:pPr>
              <w:widowControl/>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0 .4794</w:t>
            </w:r>
            <w:r>
              <w:rPr>
                <w:rFonts w:ascii="Times New Roman" w:eastAsia="宋体" w:hAnsi="Times New Roman" w:cs="Times New Roman"/>
                <w:sz w:val="18"/>
                <w:szCs w:val="18"/>
                <w:vertAlign w:val="superscript"/>
                <w:lang w:bidi="ar"/>
              </w:rPr>
              <w:t>***</w:t>
            </w:r>
          </w:p>
        </w:tc>
        <w:tc>
          <w:tcPr>
            <w:tcW w:w="795" w:type="pct"/>
            <w:tcBorders>
              <w:top w:val="nil"/>
              <w:left w:val="single" w:sz="4" w:space="0" w:color="000000"/>
              <w:bottom w:val="nil"/>
              <w:right w:val="nil"/>
            </w:tcBorders>
            <w:vAlign w:val="center"/>
          </w:tcPr>
          <w:p w14:paraId="52A295E6" w14:textId="77777777" w:rsidR="00492E75" w:rsidRDefault="00492E75">
            <w:pPr>
              <w:widowControl/>
              <w:spacing w:line="300" w:lineRule="exact"/>
              <w:jc w:val="center"/>
              <w:rPr>
                <w:rFonts w:ascii="Times New Roman" w:hAnsi="Times New Roman" w:cs="Times New Roman"/>
                <w:sz w:val="18"/>
                <w:szCs w:val="18"/>
              </w:rPr>
            </w:pPr>
          </w:p>
        </w:tc>
        <w:tc>
          <w:tcPr>
            <w:tcW w:w="793" w:type="pct"/>
            <w:tcBorders>
              <w:top w:val="nil"/>
              <w:left w:val="single" w:sz="4" w:space="0" w:color="000000"/>
              <w:bottom w:val="nil"/>
              <w:right w:val="nil"/>
            </w:tcBorders>
          </w:tcPr>
          <w:p w14:paraId="425D6A4D" w14:textId="77777777" w:rsidR="00492E75" w:rsidRDefault="00000000">
            <w:pPr>
              <w:widowControl/>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0.5743</w:t>
            </w:r>
            <w:r>
              <w:rPr>
                <w:rFonts w:ascii="Times New Roman" w:eastAsia="宋体" w:hAnsi="Times New Roman" w:cs="Times New Roman"/>
                <w:sz w:val="18"/>
                <w:szCs w:val="18"/>
                <w:vertAlign w:val="superscript"/>
                <w:lang w:bidi="ar"/>
              </w:rPr>
              <w:t>***</w:t>
            </w:r>
          </w:p>
        </w:tc>
      </w:tr>
      <w:tr w:rsidR="00492E75" w14:paraId="56CAC6FF" w14:textId="77777777">
        <w:trPr>
          <w:trHeight w:hRule="exact" w:val="317"/>
          <w:jc w:val="center"/>
        </w:trPr>
        <w:tc>
          <w:tcPr>
            <w:tcW w:w="1716" w:type="pct"/>
            <w:vMerge/>
            <w:tcBorders>
              <w:top w:val="nil"/>
              <w:left w:val="nil"/>
              <w:bottom w:val="nil"/>
              <w:right w:val="single" w:sz="4" w:space="0" w:color="000000"/>
            </w:tcBorders>
            <w:vAlign w:val="center"/>
          </w:tcPr>
          <w:p w14:paraId="3B4E42FC" w14:textId="77777777" w:rsidR="00492E75" w:rsidRDefault="00492E75">
            <w:pPr>
              <w:rPr>
                <w:rFonts w:ascii="Times New Roman" w:hAnsi="Times New Roman" w:cs="Times New Roman"/>
                <w:sz w:val="20"/>
                <w:szCs w:val="20"/>
              </w:rPr>
            </w:pPr>
          </w:p>
        </w:tc>
        <w:tc>
          <w:tcPr>
            <w:tcW w:w="902" w:type="pct"/>
            <w:tcBorders>
              <w:top w:val="nil"/>
              <w:left w:val="single" w:sz="4" w:space="0" w:color="000000"/>
              <w:bottom w:val="nil"/>
              <w:right w:val="single" w:sz="4" w:space="0" w:color="000000"/>
            </w:tcBorders>
            <w:vAlign w:val="center"/>
          </w:tcPr>
          <w:p w14:paraId="446C89AD" w14:textId="77777777" w:rsidR="00492E75" w:rsidRDefault="00492E75">
            <w:pPr>
              <w:widowControl/>
              <w:spacing w:line="300" w:lineRule="exact"/>
              <w:jc w:val="center"/>
              <w:rPr>
                <w:rFonts w:ascii="Times New Roman" w:hAnsi="Times New Roman" w:cs="Times New Roman"/>
                <w:sz w:val="18"/>
                <w:szCs w:val="18"/>
              </w:rPr>
            </w:pPr>
          </w:p>
        </w:tc>
        <w:tc>
          <w:tcPr>
            <w:tcW w:w="793" w:type="pct"/>
            <w:tcBorders>
              <w:top w:val="nil"/>
              <w:left w:val="single" w:sz="4" w:space="0" w:color="000000"/>
              <w:bottom w:val="nil"/>
              <w:right w:val="nil"/>
            </w:tcBorders>
          </w:tcPr>
          <w:p w14:paraId="12EA7A4E" w14:textId="77777777" w:rsidR="00492E75" w:rsidRDefault="00000000">
            <w:pPr>
              <w:widowControl/>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(0 .1058)</w:t>
            </w:r>
          </w:p>
        </w:tc>
        <w:tc>
          <w:tcPr>
            <w:tcW w:w="795" w:type="pct"/>
            <w:tcBorders>
              <w:top w:val="nil"/>
              <w:left w:val="single" w:sz="4" w:space="0" w:color="000000"/>
              <w:bottom w:val="nil"/>
              <w:right w:val="nil"/>
            </w:tcBorders>
            <w:vAlign w:val="center"/>
          </w:tcPr>
          <w:p w14:paraId="4862CE9D" w14:textId="77777777" w:rsidR="00492E75" w:rsidRDefault="00492E75">
            <w:pPr>
              <w:widowControl/>
              <w:spacing w:line="300" w:lineRule="exact"/>
              <w:jc w:val="center"/>
              <w:rPr>
                <w:rFonts w:ascii="Times New Roman" w:hAnsi="Times New Roman" w:cs="Times New Roman"/>
                <w:sz w:val="18"/>
                <w:szCs w:val="18"/>
              </w:rPr>
            </w:pPr>
          </w:p>
        </w:tc>
        <w:tc>
          <w:tcPr>
            <w:tcW w:w="793" w:type="pct"/>
            <w:tcBorders>
              <w:top w:val="nil"/>
              <w:left w:val="single" w:sz="4" w:space="0" w:color="000000"/>
              <w:bottom w:val="nil"/>
              <w:right w:val="nil"/>
            </w:tcBorders>
          </w:tcPr>
          <w:p w14:paraId="119D336E" w14:textId="77777777" w:rsidR="00492E75" w:rsidRDefault="00000000">
            <w:pPr>
              <w:widowControl/>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(0.1579)</w:t>
            </w:r>
          </w:p>
        </w:tc>
      </w:tr>
      <w:tr w:rsidR="00492E75" w14:paraId="22F3BB52" w14:textId="77777777">
        <w:trPr>
          <w:trHeight w:val="823"/>
          <w:jc w:val="center"/>
        </w:trPr>
        <w:tc>
          <w:tcPr>
            <w:tcW w:w="1716" w:type="pct"/>
            <w:tcBorders>
              <w:top w:val="nil"/>
              <w:left w:val="nil"/>
              <w:bottom w:val="nil"/>
              <w:right w:val="single" w:sz="4" w:space="0" w:color="000000"/>
            </w:tcBorders>
            <w:vAlign w:val="center"/>
          </w:tcPr>
          <w:p w14:paraId="3C40FBC7" w14:textId="77777777" w:rsidR="00492E75" w:rsidRDefault="00000000">
            <w:pPr>
              <w:spacing w:line="300" w:lineRule="exact"/>
              <w:jc w:val="center"/>
              <w:rPr>
                <w:rFonts w:ascii="Times New Roman" w:hAnsi="Times New Roman" w:cs="Times New Roman"/>
                <w:sz w:val="18"/>
                <w:szCs w:val="18"/>
              </w:rPr>
            </w:pPr>
            <w:r>
              <w:rPr>
                <w:rFonts w:ascii="Times New Roman" w:eastAsia="宋体" w:hAnsi="Times New Roman" w:cs="Times New Roman"/>
                <w:i/>
                <w:iCs/>
                <w:sz w:val="18"/>
                <w:szCs w:val="18"/>
                <w:lang w:bidi="ar"/>
              </w:rPr>
              <w:t>Kleibergen-Paap rk LM</w:t>
            </w:r>
            <w:r>
              <w:rPr>
                <w:rFonts w:ascii="Times New Roman" w:eastAsia="宋体" w:hAnsi="Times New Roman" w:cs="Times New Roman"/>
                <w:sz w:val="18"/>
                <w:szCs w:val="18"/>
                <w:lang w:bidi="ar"/>
              </w:rPr>
              <w:t xml:space="preserve"> </w:t>
            </w:r>
            <w:r>
              <w:rPr>
                <w:rFonts w:ascii="Times New Roman" w:eastAsia="宋体" w:hAnsi="Times New Roman" w:cs="Times New Roman"/>
                <w:sz w:val="18"/>
                <w:szCs w:val="18"/>
                <w:lang w:bidi="ar"/>
              </w:rPr>
              <w:t>统计值</w:t>
            </w:r>
          </w:p>
        </w:tc>
        <w:tc>
          <w:tcPr>
            <w:tcW w:w="902" w:type="pct"/>
            <w:tcBorders>
              <w:top w:val="nil"/>
              <w:left w:val="single" w:sz="4" w:space="0" w:color="000000"/>
              <w:bottom w:val="nil"/>
              <w:right w:val="single" w:sz="4" w:space="0" w:color="000000"/>
            </w:tcBorders>
            <w:vAlign w:val="center"/>
          </w:tcPr>
          <w:p w14:paraId="2407E4A6" w14:textId="77777777" w:rsidR="00492E75" w:rsidRDefault="00492E75">
            <w:pPr>
              <w:widowControl/>
              <w:spacing w:line="300" w:lineRule="exact"/>
              <w:jc w:val="center"/>
              <w:rPr>
                <w:rFonts w:ascii="Times New Roman" w:hAnsi="Times New Roman" w:cs="Times New Roman"/>
                <w:sz w:val="18"/>
                <w:szCs w:val="18"/>
              </w:rPr>
            </w:pPr>
          </w:p>
        </w:tc>
        <w:tc>
          <w:tcPr>
            <w:tcW w:w="793" w:type="pct"/>
            <w:tcBorders>
              <w:top w:val="nil"/>
              <w:left w:val="single" w:sz="4" w:space="0" w:color="000000"/>
              <w:bottom w:val="nil"/>
              <w:right w:val="nil"/>
            </w:tcBorders>
            <w:vAlign w:val="center"/>
          </w:tcPr>
          <w:p w14:paraId="5DDB8899" w14:textId="77777777" w:rsidR="00492E75" w:rsidRDefault="00000000">
            <w:pPr>
              <w:widowControl/>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26.8350</w:t>
            </w:r>
            <w:r>
              <w:rPr>
                <w:rFonts w:ascii="Times New Roman" w:eastAsia="宋体" w:hAnsi="Times New Roman" w:cs="Times New Roman"/>
                <w:sz w:val="18"/>
                <w:szCs w:val="18"/>
                <w:vertAlign w:val="superscript"/>
                <w:lang w:bidi="ar"/>
              </w:rPr>
              <w:t>***</w:t>
            </w:r>
          </w:p>
        </w:tc>
        <w:tc>
          <w:tcPr>
            <w:tcW w:w="795" w:type="pct"/>
            <w:tcBorders>
              <w:top w:val="nil"/>
              <w:left w:val="single" w:sz="4" w:space="0" w:color="000000"/>
              <w:bottom w:val="nil"/>
              <w:right w:val="nil"/>
            </w:tcBorders>
            <w:vAlign w:val="center"/>
          </w:tcPr>
          <w:p w14:paraId="4A143CAF" w14:textId="77777777" w:rsidR="00492E75" w:rsidRDefault="00492E75">
            <w:pPr>
              <w:widowControl/>
              <w:spacing w:line="300" w:lineRule="exact"/>
              <w:jc w:val="center"/>
              <w:rPr>
                <w:rFonts w:ascii="Times New Roman" w:hAnsi="Times New Roman" w:cs="Times New Roman"/>
                <w:sz w:val="18"/>
                <w:szCs w:val="18"/>
              </w:rPr>
            </w:pPr>
          </w:p>
        </w:tc>
        <w:tc>
          <w:tcPr>
            <w:tcW w:w="793" w:type="pct"/>
            <w:tcBorders>
              <w:top w:val="nil"/>
              <w:left w:val="single" w:sz="4" w:space="0" w:color="000000"/>
              <w:bottom w:val="nil"/>
              <w:right w:val="nil"/>
            </w:tcBorders>
            <w:vAlign w:val="center"/>
          </w:tcPr>
          <w:p w14:paraId="0568DD05" w14:textId="77777777" w:rsidR="00492E75" w:rsidRDefault="00000000">
            <w:pPr>
              <w:widowControl/>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16.8120</w:t>
            </w:r>
            <w:r>
              <w:rPr>
                <w:rFonts w:ascii="Times New Roman" w:eastAsia="宋体" w:hAnsi="Times New Roman" w:cs="Times New Roman"/>
                <w:sz w:val="18"/>
                <w:szCs w:val="18"/>
                <w:vertAlign w:val="superscript"/>
                <w:lang w:bidi="ar"/>
              </w:rPr>
              <w:t>***</w:t>
            </w:r>
          </w:p>
        </w:tc>
      </w:tr>
      <w:tr w:rsidR="00492E75" w14:paraId="758C594D" w14:textId="77777777">
        <w:trPr>
          <w:trHeight w:hRule="exact" w:val="317"/>
          <w:jc w:val="center"/>
        </w:trPr>
        <w:tc>
          <w:tcPr>
            <w:tcW w:w="1716" w:type="pct"/>
            <w:vMerge w:val="restart"/>
            <w:tcBorders>
              <w:top w:val="nil"/>
              <w:left w:val="nil"/>
              <w:bottom w:val="nil"/>
              <w:right w:val="single" w:sz="4" w:space="0" w:color="000000"/>
            </w:tcBorders>
            <w:vAlign w:val="center"/>
          </w:tcPr>
          <w:p w14:paraId="7B65FC99" w14:textId="77777777" w:rsidR="00492E75" w:rsidRDefault="00000000">
            <w:pPr>
              <w:spacing w:line="300" w:lineRule="exact"/>
              <w:jc w:val="center"/>
              <w:rPr>
                <w:rFonts w:ascii="Times New Roman" w:hAnsi="Times New Roman" w:cs="Times New Roman"/>
                <w:sz w:val="18"/>
                <w:szCs w:val="18"/>
              </w:rPr>
            </w:pPr>
            <w:r>
              <w:rPr>
                <w:rFonts w:ascii="Times New Roman" w:eastAsia="宋体" w:hAnsi="Times New Roman" w:cs="Times New Roman"/>
                <w:i/>
                <w:iCs/>
                <w:sz w:val="18"/>
                <w:szCs w:val="18"/>
                <w:lang w:bidi="ar"/>
              </w:rPr>
              <w:t>Kleibergen-Paap rk Wald F</w:t>
            </w:r>
            <w:r>
              <w:rPr>
                <w:rFonts w:ascii="Times New Roman" w:eastAsia="宋体" w:hAnsi="Times New Roman" w:cs="Times New Roman"/>
                <w:sz w:val="18"/>
                <w:szCs w:val="18"/>
                <w:lang w:bidi="ar"/>
              </w:rPr>
              <w:t xml:space="preserve"> </w:t>
            </w:r>
            <w:r>
              <w:rPr>
                <w:rFonts w:ascii="Times New Roman" w:eastAsia="宋体" w:hAnsi="Times New Roman" w:cs="Times New Roman"/>
                <w:sz w:val="18"/>
                <w:szCs w:val="18"/>
                <w:lang w:bidi="ar"/>
              </w:rPr>
              <w:t>统计值</w:t>
            </w:r>
          </w:p>
        </w:tc>
        <w:tc>
          <w:tcPr>
            <w:tcW w:w="902" w:type="pct"/>
            <w:tcBorders>
              <w:top w:val="nil"/>
              <w:left w:val="single" w:sz="4" w:space="0" w:color="000000"/>
              <w:bottom w:val="nil"/>
              <w:right w:val="single" w:sz="4" w:space="0" w:color="000000"/>
            </w:tcBorders>
            <w:vAlign w:val="center"/>
          </w:tcPr>
          <w:p w14:paraId="1298622F" w14:textId="77777777" w:rsidR="00492E75" w:rsidRDefault="00492E75">
            <w:pPr>
              <w:widowControl/>
              <w:spacing w:line="300" w:lineRule="exact"/>
              <w:jc w:val="center"/>
              <w:rPr>
                <w:rFonts w:ascii="Times New Roman" w:hAnsi="Times New Roman" w:cs="Times New Roman"/>
                <w:sz w:val="18"/>
                <w:szCs w:val="18"/>
              </w:rPr>
            </w:pPr>
          </w:p>
        </w:tc>
        <w:tc>
          <w:tcPr>
            <w:tcW w:w="793" w:type="pct"/>
            <w:tcBorders>
              <w:top w:val="nil"/>
              <w:left w:val="single" w:sz="4" w:space="0" w:color="000000"/>
              <w:bottom w:val="nil"/>
              <w:right w:val="nil"/>
            </w:tcBorders>
            <w:vAlign w:val="center"/>
          </w:tcPr>
          <w:p w14:paraId="7AFB6E6D" w14:textId="77777777" w:rsidR="00492E75" w:rsidRDefault="00000000">
            <w:pPr>
              <w:widowControl/>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31.4050</w:t>
            </w:r>
          </w:p>
        </w:tc>
        <w:tc>
          <w:tcPr>
            <w:tcW w:w="795" w:type="pct"/>
            <w:tcBorders>
              <w:top w:val="nil"/>
              <w:left w:val="single" w:sz="4" w:space="0" w:color="000000"/>
              <w:bottom w:val="nil"/>
              <w:right w:val="nil"/>
            </w:tcBorders>
            <w:vAlign w:val="center"/>
          </w:tcPr>
          <w:p w14:paraId="1AC84522" w14:textId="77777777" w:rsidR="00492E75" w:rsidRDefault="00492E75">
            <w:pPr>
              <w:widowControl/>
              <w:spacing w:line="300" w:lineRule="exact"/>
              <w:jc w:val="center"/>
              <w:rPr>
                <w:rFonts w:ascii="Times New Roman" w:hAnsi="Times New Roman" w:cs="Times New Roman"/>
                <w:sz w:val="18"/>
                <w:szCs w:val="18"/>
              </w:rPr>
            </w:pPr>
          </w:p>
        </w:tc>
        <w:tc>
          <w:tcPr>
            <w:tcW w:w="793" w:type="pct"/>
            <w:tcBorders>
              <w:top w:val="nil"/>
              <w:left w:val="single" w:sz="4" w:space="0" w:color="000000"/>
              <w:bottom w:val="nil"/>
              <w:right w:val="nil"/>
            </w:tcBorders>
            <w:vAlign w:val="center"/>
          </w:tcPr>
          <w:p w14:paraId="1010F4CF" w14:textId="77777777" w:rsidR="00492E75" w:rsidRDefault="00000000">
            <w:pPr>
              <w:widowControl/>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16.1290</w:t>
            </w:r>
          </w:p>
        </w:tc>
      </w:tr>
      <w:tr w:rsidR="00492E75" w14:paraId="17B0B5B6" w14:textId="77777777">
        <w:trPr>
          <w:trHeight w:hRule="exact" w:val="317"/>
          <w:jc w:val="center"/>
        </w:trPr>
        <w:tc>
          <w:tcPr>
            <w:tcW w:w="1716" w:type="pct"/>
            <w:vMerge/>
            <w:tcBorders>
              <w:top w:val="nil"/>
              <w:left w:val="nil"/>
              <w:bottom w:val="nil"/>
              <w:right w:val="single" w:sz="4" w:space="0" w:color="000000"/>
            </w:tcBorders>
            <w:vAlign w:val="center"/>
          </w:tcPr>
          <w:p w14:paraId="244AD057" w14:textId="77777777" w:rsidR="00492E75" w:rsidRDefault="00492E75">
            <w:pPr>
              <w:rPr>
                <w:rFonts w:ascii="Times New Roman" w:hAnsi="Times New Roman" w:cs="Times New Roman"/>
                <w:sz w:val="20"/>
                <w:szCs w:val="20"/>
              </w:rPr>
            </w:pPr>
          </w:p>
        </w:tc>
        <w:tc>
          <w:tcPr>
            <w:tcW w:w="902" w:type="pct"/>
            <w:tcBorders>
              <w:top w:val="nil"/>
              <w:left w:val="single" w:sz="4" w:space="0" w:color="000000"/>
              <w:bottom w:val="single" w:sz="4" w:space="0" w:color="auto"/>
              <w:right w:val="single" w:sz="4" w:space="0" w:color="000000"/>
            </w:tcBorders>
            <w:vAlign w:val="center"/>
          </w:tcPr>
          <w:p w14:paraId="65276CB3" w14:textId="77777777" w:rsidR="00492E75" w:rsidRDefault="00492E75">
            <w:pPr>
              <w:widowControl/>
              <w:spacing w:line="300" w:lineRule="exact"/>
              <w:jc w:val="center"/>
              <w:rPr>
                <w:rFonts w:ascii="Times New Roman" w:hAnsi="Times New Roman" w:cs="Times New Roman"/>
                <w:sz w:val="18"/>
                <w:szCs w:val="18"/>
              </w:rPr>
            </w:pPr>
          </w:p>
        </w:tc>
        <w:tc>
          <w:tcPr>
            <w:tcW w:w="793" w:type="pct"/>
            <w:tcBorders>
              <w:top w:val="nil"/>
              <w:left w:val="single" w:sz="4" w:space="0" w:color="000000"/>
              <w:bottom w:val="single" w:sz="4" w:space="0" w:color="auto"/>
              <w:right w:val="nil"/>
            </w:tcBorders>
            <w:vAlign w:val="center"/>
          </w:tcPr>
          <w:p w14:paraId="3481F9BA" w14:textId="77777777" w:rsidR="00492E75" w:rsidRDefault="00000000">
            <w:pPr>
              <w:widowControl/>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w:t>
            </w:r>
            <w:r>
              <w:rPr>
                <w:rFonts w:ascii="Times New Roman" w:eastAsia="宋体" w:hAnsi="Times New Roman" w:cs="Times New Roman"/>
                <w:sz w:val="18"/>
                <w:szCs w:val="18"/>
                <w:lang w:bidi="ar"/>
              </w:rPr>
              <w:t>16.38</w:t>
            </w:r>
            <w:r>
              <w:rPr>
                <w:rFonts w:ascii="Times New Roman" w:eastAsia="宋体" w:hAnsi="Times New Roman" w:cs="Times New Roman"/>
                <w:sz w:val="18"/>
                <w:szCs w:val="18"/>
                <w:lang w:bidi="ar"/>
              </w:rPr>
              <w:t>】</w:t>
            </w:r>
          </w:p>
        </w:tc>
        <w:tc>
          <w:tcPr>
            <w:tcW w:w="795" w:type="pct"/>
            <w:tcBorders>
              <w:top w:val="nil"/>
              <w:left w:val="single" w:sz="4" w:space="0" w:color="000000"/>
              <w:bottom w:val="single" w:sz="4" w:space="0" w:color="auto"/>
              <w:right w:val="nil"/>
            </w:tcBorders>
            <w:vAlign w:val="center"/>
          </w:tcPr>
          <w:p w14:paraId="79562138" w14:textId="77777777" w:rsidR="00492E75" w:rsidRDefault="00492E75">
            <w:pPr>
              <w:widowControl/>
              <w:spacing w:line="300" w:lineRule="exact"/>
              <w:jc w:val="center"/>
              <w:rPr>
                <w:rFonts w:ascii="Times New Roman" w:hAnsi="Times New Roman" w:cs="Times New Roman"/>
                <w:sz w:val="18"/>
                <w:szCs w:val="18"/>
              </w:rPr>
            </w:pPr>
          </w:p>
        </w:tc>
        <w:tc>
          <w:tcPr>
            <w:tcW w:w="793" w:type="pct"/>
            <w:tcBorders>
              <w:top w:val="nil"/>
              <w:left w:val="single" w:sz="4" w:space="0" w:color="000000"/>
              <w:bottom w:val="single" w:sz="4" w:space="0" w:color="auto"/>
              <w:right w:val="nil"/>
            </w:tcBorders>
            <w:vAlign w:val="center"/>
          </w:tcPr>
          <w:p w14:paraId="78455A93" w14:textId="77777777" w:rsidR="00492E75" w:rsidRDefault="00000000">
            <w:pPr>
              <w:widowControl/>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w:t>
            </w:r>
            <w:r>
              <w:rPr>
                <w:rFonts w:ascii="Times New Roman" w:eastAsia="宋体" w:hAnsi="Times New Roman" w:cs="Times New Roman"/>
                <w:sz w:val="18"/>
                <w:szCs w:val="18"/>
                <w:lang w:bidi="ar"/>
              </w:rPr>
              <w:t>16.38</w:t>
            </w:r>
            <w:r>
              <w:rPr>
                <w:rFonts w:ascii="Times New Roman" w:eastAsia="宋体" w:hAnsi="Times New Roman" w:cs="Times New Roman"/>
                <w:sz w:val="18"/>
                <w:szCs w:val="18"/>
                <w:lang w:bidi="ar"/>
              </w:rPr>
              <w:t>】</w:t>
            </w:r>
          </w:p>
        </w:tc>
      </w:tr>
      <w:tr w:rsidR="00492E75" w14:paraId="5331F3A9" w14:textId="77777777">
        <w:trPr>
          <w:trHeight w:hRule="exact" w:val="317"/>
          <w:jc w:val="center"/>
        </w:trPr>
        <w:tc>
          <w:tcPr>
            <w:tcW w:w="1716" w:type="pct"/>
            <w:tcBorders>
              <w:top w:val="nil"/>
              <w:left w:val="nil"/>
              <w:bottom w:val="nil"/>
              <w:right w:val="single" w:sz="4" w:space="0" w:color="000000"/>
            </w:tcBorders>
            <w:vAlign w:val="center"/>
          </w:tcPr>
          <w:p w14:paraId="7137C7C7" w14:textId="77777777" w:rsidR="00492E75" w:rsidRDefault="00000000">
            <w:pPr>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控制变量</w:t>
            </w:r>
          </w:p>
        </w:tc>
        <w:tc>
          <w:tcPr>
            <w:tcW w:w="902" w:type="pct"/>
            <w:tcBorders>
              <w:top w:val="single" w:sz="4" w:space="0" w:color="auto"/>
              <w:left w:val="single" w:sz="4" w:space="0" w:color="000000"/>
              <w:bottom w:val="nil"/>
              <w:right w:val="single" w:sz="4" w:space="0" w:color="000000"/>
            </w:tcBorders>
          </w:tcPr>
          <w:p w14:paraId="03F81422" w14:textId="77777777" w:rsidR="00492E75" w:rsidRDefault="00000000">
            <w:pPr>
              <w:widowControl/>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控制</w:t>
            </w:r>
          </w:p>
        </w:tc>
        <w:tc>
          <w:tcPr>
            <w:tcW w:w="793" w:type="pct"/>
            <w:tcBorders>
              <w:top w:val="single" w:sz="4" w:space="0" w:color="auto"/>
              <w:left w:val="single" w:sz="4" w:space="0" w:color="000000"/>
              <w:bottom w:val="nil"/>
              <w:right w:val="nil"/>
            </w:tcBorders>
          </w:tcPr>
          <w:p w14:paraId="5F29131F" w14:textId="77777777" w:rsidR="00492E75" w:rsidRDefault="00000000">
            <w:pPr>
              <w:widowControl/>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控制</w:t>
            </w:r>
          </w:p>
        </w:tc>
        <w:tc>
          <w:tcPr>
            <w:tcW w:w="795" w:type="pct"/>
            <w:tcBorders>
              <w:top w:val="single" w:sz="4" w:space="0" w:color="auto"/>
              <w:left w:val="single" w:sz="4" w:space="0" w:color="000000"/>
              <w:bottom w:val="nil"/>
              <w:right w:val="nil"/>
            </w:tcBorders>
          </w:tcPr>
          <w:p w14:paraId="45CF83FF" w14:textId="77777777" w:rsidR="00492E75" w:rsidRDefault="00000000">
            <w:pPr>
              <w:widowControl/>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控制</w:t>
            </w:r>
          </w:p>
        </w:tc>
        <w:tc>
          <w:tcPr>
            <w:tcW w:w="793" w:type="pct"/>
            <w:tcBorders>
              <w:top w:val="single" w:sz="4" w:space="0" w:color="auto"/>
              <w:left w:val="single" w:sz="4" w:space="0" w:color="000000"/>
              <w:bottom w:val="nil"/>
              <w:right w:val="nil"/>
            </w:tcBorders>
          </w:tcPr>
          <w:p w14:paraId="4507B184" w14:textId="77777777" w:rsidR="00492E75" w:rsidRDefault="00000000">
            <w:pPr>
              <w:widowControl/>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控制</w:t>
            </w:r>
          </w:p>
        </w:tc>
      </w:tr>
      <w:tr w:rsidR="00492E75" w14:paraId="7174141B" w14:textId="77777777">
        <w:trPr>
          <w:trHeight w:hRule="exact" w:val="317"/>
          <w:jc w:val="center"/>
        </w:trPr>
        <w:tc>
          <w:tcPr>
            <w:tcW w:w="1716" w:type="pct"/>
            <w:tcBorders>
              <w:top w:val="nil"/>
              <w:left w:val="nil"/>
              <w:bottom w:val="nil"/>
              <w:right w:val="single" w:sz="4" w:space="0" w:color="000000"/>
            </w:tcBorders>
            <w:vAlign w:val="center"/>
          </w:tcPr>
          <w:p w14:paraId="3E5D8B03" w14:textId="77777777" w:rsidR="00492E75" w:rsidRDefault="00000000">
            <w:pPr>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城市固定效应</w:t>
            </w:r>
          </w:p>
        </w:tc>
        <w:tc>
          <w:tcPr>
            <w:tcW w:w="902" w:type="pct"/>
            <w:tcBorders>
              <w:top w:val="nil"/>
              <w:left w:val="single" w:sz="4" w:space="0" w:color="000000"/>
              <w:bottom w:val="nil"/>
              <w:right w:val="single" w:sz="4" w:space="0" w:color="000000"/>
            </w:tcBorders>
          </w:tcPr>
          <w:p w14:paraId="25AACC28" w14:textId="77777777" w:rsidR="00492E75" w:rsidRDefault="00000000">
            <w:pPr>
              <w:widowControl/>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控制</w:t>
            </w:r>
          </w:p>
        </w:tc>
        <w:tc>
          <w:tcPr>
            <w:tcW w:w="793" w:type="pct"/>
            <w:tcBorders>
              <w:top w:val="nil"/>
              <w:left w:val="single" w:sz="4" w:space="0" w:color="000000"/>
              <w:bottom w:val="nil"/>
              <w:right w:val="nil"/>
            </w:tcBorders>
          </w:tcPr>
          <w:p w14:paraId="2466DABF" w14:textId="77777777" w:rsidR="00492E75" w:rsidRDefault="00000000">
            <w:pPr>
              <w:widowControl/>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控制</w:t>
            </w:r>
          </w:p>
        </w:tc>
        <w:tc>
          <w:tcPr>
            <w:tcW w:w="795" w:type="pct"/>
            <w:tcBorders>
              <w:top w:val="nil"/>
              <w:left w:val="single" w:sz="4" w:space="0" w:color="000000"/>
              <w:bottom w:val="nil"/>
              <w:right w:val="nil"/>
            </w:tcBorders>
          </w:tcPr>
          <w:p w14:paraId="18E29E6A" w14:textId="77777777" w:rsidR="00492E75" w:rsidRDefault="00000000">
            <w:pPr>
              <w:widowControl/>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控制</w:t>
            </w:r>
          </w:p>
        </w:tc>
        <w:tc>
          <w:tcPr>
            <w:tcW w:w="793" w:type="pct"/>
            <w:tcBorders>
              <w:top w:val="nil"/>
              <w:left w:val="single" w:sz="4" w:space="0" w:color="000000"/>
              <w:bottom w:val="nil"/>
              <w:right w:val="nil"/>
            </w:tcBorders>
          </w:tcPr>
          <w:p w14:paraId="48E417DB" w14:textId="77777777" w:rsidR="00492E75" w:rsidRDefault="00000000">
            <w:pPr>
              <w:widowControl/>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控制</w:t>
            </w:r>
          </w:p>
        </w:tc>
      </w:tr>
      <w:tr w:rsidR="00492E75" w14:paraId="22CEBBD8" w14:textId="77777777">
        <w:trPr>
          <w:trHeight w:hRule="exact" w:val="317"/>
          <w:jc w:val="center"/>
        </w:trPr>
        <w:tc>
          <w:tcPr>
            <w:tcW w:w="1716" w:type="pct"/>
            <w:tcBorders>
              <w:top w:val="nil"/>
              <w:left w:val="nil"/>
              <w:bottom w:val="single" w:sz="4" w:space="0" w:color="000000"/>
              <w:right w:val="single" w:sz="4" w:space="0" w:color="000000"/>
            </w:tcBorders>
            <w:vAlign w:val="center"/>
          </w:tcPr>
          <w:p w14:paraId="0D345110" w14:textId="77777777" w:rsidR="00492E75" w:rsidRDefault="00000000">
            <w:pPr>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年份固定效应</w:t>
            </w:r>
          </w:p>
        </w:tc>
        <w:tc>
          <w:tcPr>
            <w:tcW w:w="902" w:type="pct"/>
            <w:tcBorders>
              <w:top w:val="nil"/>
              <w:left w:val="single" w:sz="4" w:space="0" w:color="000000"/>
              <w:bottom w:val="single" w:sz="4" w:space="0" w:color="000000"/>
              <w:right w:val="single" w:sz="4" w:space="0" w:color="000000"/>
            </w:tcBorders>
          </w:tcPr>
          <w:p w14:paraId="2B169307" w14:textId="77777777" w:rsidR="00492E75" w:rsidRDefault="00000000">
            <w:pPr>
              <w:widowControl/>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控制</w:t>
            </w:r>
          </w:p>
        </w:tc>
        <w:tc>
          <w:tcPr>
            <w:tcW w:w="793" w:type="pct"/>
            <w:tcBorders>
              <w:top w:val="nil"/>
              <w:left w:val="single" w:sz="4" w:space="0" w:color="000000"/>
              <w:bottom w:val="single" w:sz="4" w:space="0" w:color="000000"/>
              <w:right w:val="nil"/>
            </w:tcBorders>
          </w:tcPr>
          <w:p w14:paraId="1C134092" w14:textId="77777777" w:rsidR="00492E75" w:rsidRDefault="00000000">
            <w:pPr>
              <w:widowControl/>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控制</w:t>
            </w:r>
          </w:p>
        </w:tc>
        <w:tc>
          <w:tcPr>
            <w:tcW w:w="795" w:type="pct"/>
            <w:tcBorders>
              <w:top w:val="nil"/>
              <w:left w:val="single" w:sz="4" w:space="0" w:color="000000"/>
              <w:bottom w:val="single" w:sz="4" w:space="0" w:color="000000"/>
              <w:right w:val="nil"/>
            </w:tcBorders>
          </w:tcPr>
          <w:p w14:paraId="29A0F064" w14:textId="77777777" w:rsidR="00492E75" w:rsidRDefault="00000000">
            <w:pPr>
              <w:widowControl/>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控制</w:t>
            </w:r>
          </w:p>
        </w:tc>
        <w:tc>
          <w:tcPr>
            <w:tcW w:w="793" w:type="pct"/>
            <w:tcBorders>
              <w:top w:val="nil"/>
              <w:left w:val="single" w:sz="4" w:space="0" w:color="000000"/>
              <w:bottom w:val="single" w:sz="4" w:space="0" w:color="000000"/>
              <w:right w:val="nil"/>
            </w:tcBorders>
          </w:tcPr>
          <w:p w14:paraId="1E32ED85" w14:textId="77777777" w:rsidR="00492E75" w:rsidRDefault="00000000">
            <w:pPr>
              <w:widowControl/>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控制</w:t>
            </w:r>
          </w:p>
        </w:tc>
      </w:tr>
      <w:tr w:rsidR="00492E75" w14:paraId="17AE0870" w14:textId="77777777">
        <w:trPr>
          <w:trHeight w:hRule="exact" w:val="317"/>
          <w:jc w:val="center"/>
        </w:trPr>
        <w:tc>
          <w:tcPr>
            <w:tcW w:w="1716" w:type="pct"/>
            <w:tcBorders>
              <w:top w:val="single" w:sz="4" w:space="0" w:color="000000"/>
              <w:left w:val="nil"/>
              <w:bottom w:val="nil"/>
              <w:right w:val="single" w:sz="4" w:space="0" w:color="000000"/>
            </w:tcBorders>
            <w:vAlign w:val="center"/>
          </w:tcPr>
          <w:p w14:paraId="70090D9B" w14:textId="77777777" w:rsidR="00492E75" w:rsidRDefault="00000000">
            <w:pPr>
              <w:spacing w:line="300" w:lineRule="exact"/>
              <w:jc w:val="center"/>
              <w:rPr>
                <w:rFonts w:ascii="Times New Roman" w:hAnsi="Times New Roman" w:cs="Times New Roman"/>
                <w:i/>
                <w:iCs/>
                <w:sz w:val="18"/>
                <w:szCs w:val="18"/>
              </w:rPr>
            </w:pPr>
            <w:r>
              <w:rPr>
                <w:rFonts w:ascii="Times New Roman" w:eastAsia="宋体" w:hAnsi="Times New Roman" w:cs="Times New Roman"/>
                <w:i/>
                <w:iCs/>
                <w:sz w:val="18"/>
                <w:szCs w:val="18"/>
                <w:lang w:bidi="ar"/>
              </w:rPr>
              <w:t>N</w:t>
            </w:r>
          </w:p>
        </w:tc>
        <w:tc>
          <w:tcPr>
            <w:tcW w:w="902" w:type="pct"/>
            <w:tcBorders>
              <w:top w:val="single" w:sz="4" w:space="0" w:color="000000"/>
              <w:left w:val="single" w:sz="4" w:space="0" w:color="000000"/>
              <w:bottom w:val="nil"/>
              <w:right w:val="single" w:sz="4" w:space="0" w:color="000000"/>
            </w:tcBorders>
            <w:vAlign w:val="center"/>
          </w:tcPr>
          <w:p w14:paraId="265BDFBB" w14:textId="77777777" w:rsidR="00492E75" w:rsidRDefault="00000000">
            <w:pPr>
              <w:widowControl/>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842 427</w:t>
            </w:r>
          </w:p>
        </w:tc>
        <w:tc>
          <w:tcPr>
            <w:tcW w:w="793" w:type="pct"/>
            <w:tcBorders>
              <w:top w:val="single" w:sz="4" w:space="0" w:color="000000"/>
              <w:left w:val="single" w:sz="4" w:space="0" w:color="000000"/>
              <w:bottom w:val="nil"/>
              <w:right w:val="nil"/>
            </w:tcBorders>
            <w:vAlign w:val="center"/>
          </w:tcPr>
          <w:p w14:paraId="2DA2DC7B" w14:textId="77777777" w:rsidR="00492E75" w:rsidRDefault="00000000">
            <w:pPr>
              <w:widowControl/>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842 427</w:t>
            </w:r>
          </w:p>
        </w:tc>
        <w:tc>
          <w:tcPr>
            <w:tcW w:w="795" w:type="pct"/>
            <w:tcBorders>
              <w:top w:val="single" w:sz="4" w:space="0" w:color="000000"/>
              <w:left w:val="single" w:sz="4" w:space="0" w:color="000000"/>
              <w:bottom w:val="nil"/>
              <w:right w:val="nil"/>
            </w:tcBorders>
            <w:vAlign w:val="center"/>
          </w:tcPr>
          <w:p w14:paraId="5BF12277" w14:textId="77777777" w:rsidR="00492E75" w:rsidRDefault="00000000">
            <w:pPr>
              <w:widowControl/>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842 662</w:t>
            </w:r>
          </w:p>
        </w:tc>
        <w:tc>
          <w:tcPr>
            <w:tcW w:w="793" w:type="pct"/>
            <w:tcBorders>
              <w:top w:val="single" w:sz="4" w:space="0" w:color="000000"/>
              <w:left w:val="single" w:sz="4" w:space="0" w:color="000000"/>
              <w:bottom w:val="nil"/>
              <w:right w:val="nil"/>
            </w:tcBorders>
          </w:tcPr>
          <w:p w14:paraId="4CC40985" w14:textId="77777777" w:rsidR="00492E75" w:rsidRDefault="00000000">
            <w:pPr>
              <w:widowControl/>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842 662</w:t>
            </w:r>
          </w:p>
        </w:tc>
      </w:tr>
      <w:tr w:rsidR="00492E75" w14:paraId="522F876C" w14:textId="77777777">
        <w:trPr>
          <w:trHeight w:hRule="exact" w:val="317"/>
          <w:jc w:val="center"/>
        </w:trPr>
        <w:tc>
          <w:tcPr>
            <w:tcW w:w="1716" w:type="pct"/>
            <w:tcBorders>
              <w:top w:val="nil"/>
              <w:left w:val="nil"/>
              <w:bottom w:val="single" w:sz="8" w:space="0" w:color="000000"/>
              <w:right w:val="single" w:sz="4" w:space="0" w:color="000000"/>
            </w:tcBorders>
            <w:vAlign w:val="center"/>
          </w:tcPr>
          <w:p w14:paraId="0A86715B" w14:textId="77777777" w:rsidR="00492E75" w:rsidRDefault="00000000">
            <w:pPr>
              <w:spacing w:line="300" w:lineRule="exact"/>
              <w:jc w:val="center"/>
              <w:rPr>
                <w:rFonts w:ascii="Times New Roman" w:hAnsi="Times New Roman" w:cs="Times New Roman"/>
                <w:sz w:val="18"/>
                <w:szCs w:val="18"/>
              </w:rPr>
            </w:pPr>
            <w:r>
              <w:rPr>
                <w:rFonts w:ascii="Times New Roman" w:eastAsia="宋体" w:hAnsi="Times New Roman" w:cs="Times New Roman"/>
                <w:i/>
                <w:iCs/>
                <w:sz w:val="18"/>
                <w:szCs w:val="18"/>
                <w:lang w:bidi="ar"/>
              </w:rPr>
              <w:t>F</w:t>
            </w:r>
            <w:r>
              <w:rPr>
                <w:rFonts w:ascii="Times New Roman" w:eastAsia="宋体" w:hAnsi="Times New Roman" w:cs="Times New Roman"/>
                <w:sz w:val="18"/>
                <w:szCs w:val="18"/>
                <w:lang w:bidi="ar"/>
              </w:rPr>
              <w:t>统计量</w:t>
            </w:r>
          </w:p>
        </w:tc>
        <w:tc>
          <w:tcPr>
            <w:tcW w:w="902" w:type="pct"/>
            <w:tcBorders>
              <w:top w:val="nil"/>
              <w:left w:val="single" w:sz="4" w:space="0" w:color="000000"/>
              <w:bottom w:val="single" w:sz="8" w:space="0" w:color="000000"/>
              <w:right w:val="single" w:sz="4" w:space="0" w:color="000000"/>
            </w:tcBorders>
            <w:vAlign w:val="center"/>
          </w:tcPr>
          <w:p w14:paraId="62B75A2B" w14:textId="77777777" w:rsidR="00492E75" w:rsidRDefault="00000000">
            <w:pPr>
              <w:widowControl/>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31.4050</w:t>
            </w:r>
          </w:p>
        </w:tc>
        <w:tc>
          <w:tcPr>
            <w:tcW w:w="793" w:type="pct"/>
            <w:tcBorders>
              <w:top w:val="nil"/>
              <w:left w:val="single" w:sz="4" w:space="0" w:color="000000"/>
              <w:bottom w:val="single" w:sz="8" w:space="0" w:color="000000"/>
              <w:right w:val="nil"/>
            </w:tcBorders>
            <w:vAlign w:val="center"/>
          </w:tcPr>
          <w:p w14:paraId="2F0B009C" w14:textId="77777777" w:rsidR="00492E75" w:rsidRDefault="00492E75">
            <w:pPr>
              <w:widowControl/>
              <w:spacing w:line="300" w:lineRule="exact"/>
              <w:jc w:val="center"/>
              <w:rPr>
                <w:rFonts w:ascii="Times New Roman" w:hAnsi="Times New Roman" w:cs="Times New Roman"/>
                <w:sz w:val="18"/>
                <w:szCs w:val="18"/>
              </w:rPr>
            </w:pPr>
          </w:p>
        </w:tc>
        <w:tc>
          <w:tcPr>
            <w:tcW w:w="795" w:type="pct"/>
            <w:tcBorders>
              <w:top w:val="nil"/>
              <w:left w:val="single" w:sz="4" w:space="0" w:color="000000"/>
              <w:bottom w:val="single" w:sz="8" w:space="0" w:color="000000"/>
              <w:right w:val="nil"/>
            </w:tcBorders>
            <w:vAlign w:val="center"/>
          </w:tcPr>
          <w:p w14:paraId="5423241B" w14:textId="77777777" w:rsidR="00492E75" w:rsidRDefault="00000000">
            <w:pPr>
              <w:widowControl/>
              <w:spacing w:line="300" w:lineRule="exact"/>
              <w:jc w:val="center"/>
              <w:rPr>
                <w:rFonts w:ascii="Times New Roman" w:hAnsi="Times New Roman" w:cs="Times New Roman"/>
                <w:sz w:val="18"/>
                <w:szCs w:val="18"/>
              </w:rPr>
            </w:pPr>
            <w:r>
              <w:rPr>
                <w:rFonts w:ascii="Times New Roman" w:eastAsia="宋体" w:hAnsi="Times New Roman" w:cs="Times New Roman"/>
                <w:sz w:val="18"/>
                <w:szCs w:val="18"/>
                <w:lang w:bidi="ar"/>
              </w:rPr>
              <w:t>16.1290</w:t>
            </w:r>
          </w:p>
        </w:tc>
        <w:tc>
          <w:tcPr>
            <w:tcW w:w="793" w:type="pct"/>
            <w:tcBorders>
              <w:top w:val="nil"/>
              <w:left w:val="single" w:sz="4" w:space="0" w:color="000000"/>
              <w:bottom w:val="single" w:sz="8" w:space="0" w:color="000000"/>
              <w:right w:val="nil"/>
            </w:tcBorders>
            <w:vAlign w:val="center"/>
          </w:tcPr>
          <w:p w14:paraId="632D0BEE" w14:textId="77777777" w:rsidR="00492E75" w:rsidRDefault="00492E75">
            <w:pPr>
              <w:widowControl/>
              <w:spacing w:line="300" w:lineRule="exact"/>
              <w:jc w:val="center"/>
              <w:rPr>
                <w:rFonts w:ascii="Times New Roman" w:hAnsi="Times New Roman" w:cs="Times New Roman"/>
                <w:sz w:val="18"/>
                <w:szCs w:val="18"/>
              </w:rPr>
            </w:pPr>
          </w:p>
        </w:tc>
      </w:tr>
    </w:tbl>
    <w:p w14:paraId="046B0B89" w14:textId="77777777" w:rsidR="00492E75" w:rsidRDefault="00000000">
      <w:pPr>
        <w:pStyle w:val="a8"/>
        <w:widowControl/>
        <w:spacing w:after="156"/>
        <w:rPr>
          <w:rFonts w:hint="eastAsia"/>
        </w:rPr>
      </w:pPr>
      <w:r>
        <w:rPr>
          <w:rFonts w:hAnsi="Times New Roman" w:cs="宋体" w:hint="eastAsia"/>
        </w:rPr>
        <w:t>注：</w:t>
      </w:r>
      <w:r>
        <w:rPr>
          <w:rFonts w:hAnsi="Times New Roman"/>
        </w:rPr>
        <w:t>Kleibergen-Paap rk LM</w:t>
      </w:r>
      <w:r>
        <w:rPr>
          <w:rFonts w:hAnsi="Times New Roman" w:cs="宋体" w:hint="eastAsia"/>
        </w:rPr>
        <w:t>为工具变量的可识别检验，</w:t>
      </w:r>
      <w:r>
        <w:rPr>
          <w:rFonts w:hAnsi="Times New Roman"/>
        </w:rPr>
        <w:t>Kleibergen-Paap rk Wald</w:t>
      </w:r>
      <w:r>
        <w:rPr>
          <w:rFonts w:hAnsi="Times New Roman" w:cs="宋体" w:hint="eastAsia"/>
        </w:rPr>
        <w:t>为弱工具变量检验。【】中的数值对应</w:t>
      </w:r>
      <w:r>
        <w:rPr>
          <w:rFonts w:hAnsi="Times New Roman"/>
        </w:rPr>
        <w:t>Stock-Yogo 10%</w:t>
      </w:r>
      <w:r>
        <w:rPr>
          <w:rFonts w:hAnsi="Times New Roman" w:cs="宋体" w:hint="eastAsia"/>
        </w:rPr>
        <w:t>临界值。</w:t>
      </w:r>
      <w:bookmarkEnd w:id="27"/>
    </w:p>
    <w:sectPr w:rsidR="00492E75">
      <w:pgSz w:w="12240" w:h="15840"/>
      <w:pgMar w:top="1440" w:right="1800" w:bottom="1440" w:left="1800" w:header="720" w:footer="720"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7C91187"/>
    <w:rsid w:val="0019623B"/>
    <w:rsid w:val="00492E75"/>
    <w:rsid w:val="00EF26BE"/>
    <w:rsid w:val="3E620120"/>
    <w:rsid w:val="67C91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8DC7E"/>
  <w15:docId w15:val="{07B5C17B-DA4D-44D6-88FB-490E9BC1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a4">
    <w:name w:val="三级标题样式"/>
    <w:basedOn w:val="a"/>
    <w:qFormat/>
    <w:pPr>
      <w:widowControl/>
      <w:ind w:firstLineChars="200" w:firstLine="200"/>
    </w:pPr>
    <w:rPr>
      <w:rFonts w:ascii="Times New Roman" w:eastAsia="宋体" w:hAnsi="Times New Roman" w:cs="Times New Roman"/>
    </w:rPr>
  </w:style>
  <w:style w:type="paragraph" w:customStyle="1" w:styleId="a5">
    <w:name w:val="图样式"/>
    <w:basedOn w:val="a"/>
    <w:qFormat/>
    <w:pPr>
      <w:widowControl/>
      <w:jc w:val="center"/>
    </w:pPr>
    <w:rPr>
      <w:rFonts w:ascii="Times New Roman" w:eastAsia="宋体" w:hAnsi="Times New Roman" w:cs="Times New Roman"/>
      <w:b/>
      <w:sz w:val="18"/>
      <w:szCs w:val="18"/>
    </w:rPr>
  </w:style>
  <w:style w:type="paragraph" w:customStyle="1" w:styleId="a6">
    <w:name w:val="二级标题样式"/>
    <w:basedOn w:val="a"/>
    <w:qFormat/>
    <w:pPr>
      <w:widowControl/>
      <w:ind w:firstLineChars="200" w:firstLine="200"/>
    </w:pPr>
    <w:rPr>
      <w:rFonts w:ascii="Times New Roman" w:eastAsia="宋体" w:hAnsi="Times New Roman" w:cs="Times New Roman"/>
    </w:rPr>
  </w:style>
  <w:style w:type="paragraph" w:customStyle="1" w:styleId="a7">
    <w:name w:val="正文样式"/>
    <w:basedOn w:val="a"/>
    <w:qFormat/>
    <w:pPr>
      <w:autoSpaceDE w:val="0"/>
      <w:autoSpaceDN w:val="0"/>
      <w:ind w:firstLineChars="200" w:firstLine="200"/>
    </w:pPr>
    <w:rPr>
      <w:rFonts w:ascii="Times New Roman" w:eastAsia="宋体" w:hAnsi="Times New Roman" w:cs="Times New Roman"/>
    </w:rPr>
  </w:style>
  <w:style w:type="paragraph" w:customStyle="1" w:styleId="a8">
    <w:name w:val="（中）表注样式"/>
    <w:basedOn w:val="a"/>
    <w:pPr>
      <w:spacing w:afterLines="50" w:after="50"/>
    </w:pPr>
    <w:rPr>
      <w:rFonts w:ascii="Times New Roman" w:eastAsia="宋体" w:hAnsi="宋体" w:cs="Times New Roman"/>
      <w:sz w:val="15"/>
      <w:szCs w:val="15"/>
    </w:rPr>
  </w:style>
  <w:style w:type="character" w:customStyle="1" w:styleId="a9">
    <w:name w:val="三级标题序号样式"/>
    <w:basedOn w:val="a0"/>
    <w:qFormat/>
    <w:rPr>
      <w:rFonts w:ascii="Times New Roman" w:eastAsia="宋体" w:hAnsi="Times New Roman" w:cs="Times New Roman" w:hint="default"/>
      <w:color w:val="auto"/>
      <w:w w:val="100"/>
      <w:kern w:val="2"/>
      <w:sz w:val="21"/>
      <w:u w:val="none"/>
      <w:vertAlign w:val="baseline"/>
    </w:rPr>
  </w:style>
  <w:style w:type="character" w:customStyle="1" w:styleId="Char">
    <w:name w:val="中文表序样式 Char"/>
    <w:basedOn w:val="a0"/>
    <w:link w:val="aa"/>
    <w:rPr>
      <w:rFonts w:ascii="黑体" w:eastAsia="黑体" w:hAnsi="宋体" w:cs="黑体" w:hint="eastAsia"/>
      <w:kern w:val="2"/>
      <w:sz w:val="18"/>
      <w:szCs w:val="18"/>
    </w:rPr>
  </w:style>
  <w:style w:type="paragraph" w:customStyle="1" w:styleId="aa">
    <w:name w:val="中文表序样式"/>
    <w:basedOn w:val="a"/>
    <w:link w:val="Char"/>
    <w:pPr>
      <w:widowControl/>
      <w:spacing w:beforeLines="50" w:before="50"/>
      <w:jc w:val="center"/>
    </w:pPr>
    <w:rPr>
      <w:rFonts w:ascii="Times New Roman" w:eastAsia="黑体" w:hAnsi="Times New Roman" w:cs="Times New Roman"/>
      <w:sz w:val="18"/>
      <w:szCs w:val="18"/>
    </w:rPr>
  </w:style>
  <w:style w:type="paragraph" w:customStyle="1" w:styleId="ab">
    <w:name w:val="中文图序样式"/>
    <w:basedOn w:val="a"/>
    <w:pPr>
      <w:widowControl/>
      <w:jc w:val="center"/>
    </w:pPr>
    <w:rPr>
      <w:rFonts w:ascii="Times New Roman" w:eastAsia="黑体" w:hAnsi="Times New Roman" w:cs="Times New Roman"/>
      <w:sz w:val="18"/>
      <w:szCs w:val="18"/>
    </w:rPr>
  </w:style>
  <w:style w:type="character" w:customStyle="1" w:styleId="fontstyle01">
    <w:name w:val="fontstyle01"/>
    <w:basedOn w:val="a0"/>
    <w:rPr>
      <w:rFonts w:ascii="宋体" w:eastAsia="宋体" w:hAnsi="宋体" w:cs="宋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940</Words>
  <Characters>5359</Characters>
  <Application>Microsoft Office Word</Application>
  <DocSecurity>0</DocSecurity>
  <Lines>44</Lines>
  <Paragraphs>12</Paragraphs>
  <ScaleCrop>false</ScaleCrop>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许国辉</dc:creator>
  <cp:lastModifiedBy>user</cp:lastModifiedBy>
  <cp:revision>3</cp:revision>
  <dcterms:created xsi:type="dcterms:W3CDTF">2026-03-01T16:29:00Z</dcterms:created>
  <dcterms:modified xsi:type="dcterms:W3CDTF">2026-03-04T08:13:00Z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CF9EAC7D325744B09FD2BF398D5921E4_11</vt:lpwstr>
  </property>
  <property fmtid="{D5CDD505-2E9C-101B-9397-08002B2CF9AE}" pid="4" name="KSOTemplateDocerSaveRecord">
    <vt:lpwstr>eyJoZGlkIjoiNzIwODgwNmZjZjkxYTNiYzk1MzA5NTQzMzM4ODgwNDkiLCJ1c2VySWQiOiIzNzkyMzY4NzEifQ==</vt:lpwstr>
  </property>
</Properties>
</file>