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40333">
      <w:pPr>
        <w:widowControl/>
        <w:snapToGrid w:val="0"/>
        <w:spacing w:line="240" w:lineRule="auto"/>
        <w:jc w:val="center"/>
        <w:textAlignment w:val="bottom"/>
        <w:rPr>
          <w:rFonts w:hint="eastAsia" w:ascii="华文楷体" w:hAnsi="华文楷体" w:eastAsia="华文楷体" w:cs="华文楷体"/>
          <w:b/>
          <w:bCs/>
          <w:i w:val="0"/>
          <w:iCs/>
          <w:color w:val="auto"/>
          <w:sz w:val="28"/>
          <w:szCs w:val="28"/>
          <w:highlight w:val="none"/>
        </w:rPr>
      </w:pPr>
      <w:r>
        <w:rPr>
          <w:rFonts w:hint="eastAsia" w:ascii="华文楷体" w:hAnsi="华文楷体" w:eastAsia="华文楷体" w:cs="华文楷体"/>
          <w:b/>
          <w:bCs/>
          <w:i w:val="0"/>
          <w:iCs/>
          <w:color w:val="auto"/>
          <w:sz w:val="28"/>
          <w:szCs w:val="28"/>
          <w:highlight w:val="none"/>
        </w:rPr>
        <w:t>制度型开放的市场整合效应</w:t>
      </w:r>
    </w:p>
    <w:p w14:paraId="11D60AF5">
      <w:pPr>
        <w:widowControl/>
        <w:snapToGrid w:val="0"/>
        <w:spacing w:line="240" w:lineRule="auto"/>
        <w:jc w:val="center"/>
        <w:textAlignment w:val="bottom"/>
        <w:rPr>
          <w:rFonts w:hint="eastAsia" w:ascii="华文楷体" w:hAnsi="华文楷体" w:eastAsia="华文楷体" w:cs="华文楷体"/>
          <w:b/>
          <w:bCs/>
          <w:i w:val="0"/>
          <w:iCs/>
          <w:color w:val="auto"/>
          <w:sz w:val="28"/>
          <w:szCs w:val="28"/>
          <w:highlight w:val="none"/>
        </w:rPr>
      </w:pPr>
      <w:r>
        <w:rPr>
          <w:rFonts w:hint="eastAsia" w:ascii="华文楷体" w:hAnsi="华文楷体" w:eastAsia="华文楷体" w:cs="华文楷体"/>
          <w:b/>
          <w:bCs/>
          <w:i w:val="0"/>
          <w:iCs/>
          <w:color w:val="auto"/>
          <w:sz w:val="28"/>
          <w:szCs w:val="28"/>
          <w:highlight w:val="none"/>
        </w:rPr>
        <w:t>——基于市场准入负面清单试点的准自然实验</w:t>
      </w:r>
    </w:p>
    <w:p w14:paraId="3EA469DB">
      <w:pPr>
        <w:keepNext w:val="0"/>
        <w:keepLines w:val="0"/>
        <w:pageBreakBefore w:val="0"/>
        <w:widowControl/>
        <w:kinsoku/>
        <w:wordWrap/>
        <w:overflowPunct/>
        <w:topLinePunct w:val="0"/>
        <w:autoSpaceDE/>
        <w:autoSpaceDN/>
        <w:bidi w:val="0"/>
        <w:adjustRightInd/>
        <w:snapToGrid w:val="0"/>
        <w:spacing w:line="240" w:lineRule="auto"/>
        <w:jc w:val="both"/>
        <w:textAlignment w:val="bottom"/>
        <w:rPr>
          <w:rFonts w:hint="eastAsia" w:ascii="宋体" w:hAnsi="宋体" w:eastAsia="宋体" w:cs="宋体"/>
          <w:b/>
          <w:bCs/>
          <w:i w:val="0"/>
          <w:iCs/>
          <w:color w:val="auto"/>
          <w:sz w:val="24"/>
          <w:szCs w:val="24"/>
          <w:highlight w:val="none"/>
          <w:lang w:val="en-US" w:eastAsia="zh-CN"/>
        </w:rPr>
      </w:pPr>
      <w:r>
        <w:rPr>
          <w:rFonts w:hint="eastAsia" w:ascii="宋体" w:hAnsi="宋体" w:eastAsia="宋体" w:cs="宋体"/>
          <w:b/>
          <w:bCs/>
          <w:i w:val="0"/>
          <w:iCs/>
          <w:color w:val="auto"/>
          <w:sz w:val="24"/>
          <w:szCs w:val="24"/>
          <w:highlight w:val="none"/>
          <w:lang w:val="en-US" w:eastAsia="zh-CN"/>
        </w:rPr>
        <w:t>附录</w:t>
      </w:r>
    </w:p>
    <w:p w14:paraId="42743F7C">
      <w:pPr>
        <w:keepNext w:val="0"/>
        <w:keepLines w:val="0"/>
        <w:pageBreakBefore w:val="0"/>
        <w:widowControl/>
        <w:kinsoku/>
        <w:wordWrap/>
        <w:overflowPunct/>
        <w:topLinePunct w:val="0"/>
        <w:autoSpaceDE/>
        <w:autoSpaceDN/>
        <w:bidi w:val="0"/>
        <w:adjustRightInd/>
        <w:snapToGrid w:val="0"/>
        <w:spacing w:line="240" w:lineRule="auto"/>
        <w:jc w:val="both"/>
        <w:textAlignment w:val="bottom"/>
        <w:rPr>
          <w:rFonts w:hint="eastAsia" w:ascii="Times New Roman" w:hAnsi="Times New Roman" w:eastAsia="楷体" w:cs="Times New Roman"/>
          <w:i w:val="0"/>
          <w:iCs/>
          <w:color w:val="4874CB"/>
          <w:sz w:val="20"/>
          <w:szCs w:val="20"/>
          <w:highlight w:val="none"/>
          <w:lang w:val="en-US" w:eastAsia="zh-CN"/>
        </w:rPr>
      </w:pPr>
    </w:p>
    <w:p w14:paraId="3048F4A6">
      <w:pPr>
        <w:spacing w:line="288" w:lineRule="auto"/>
        <w:jc w:val="both"/>
        <w:outlineLvl w:val="1"/>
        <w:rPr>
          <w:rFonts w:ascii="Times New Roman" w:hAnsi="Times New Roman" w:eastAsia="宋体"/>
          <w:i w:val="0"/>
          <w:iCs/>
          <w:color w:val="auto"/>
          <w:sz w:val="21"/>
          <w:szCs w:val="21"/>
        </w:rPr>
      </w:pPr>
      <w:r>
        <w:rPr>
          <w:rFonts w:ascii="Times New Roman" w:hAnsi="Times New Roman" w:eastAsia="宋体"/>
          <w:i w:val="0"/>
          <w:iCs/>
          <w:color w:val="auto"/>
          <w:sz w:val="21"/>
          <w:szCs w:val="21"/>
        </w:rPr>
        <w:t>（</w:t>
      </w:r>
      <w:r>
        <w:rPr>
          <w:rFonts w:hint="eastAsia" w:ascii="Times New Roman" w:hAnsi="Times New Roman" w:eastAsia="宋体"/>
          <w:i w:val="0"/>
          <w:iCs/>
          <w:color w:val="auto"/>
          <w:sz w:val="21"/>
          <w:szCs w:val="21"/>
          <w:lang w:val="en-US" w:eastAsia="zh-CN"/>
        </w:rPr>
        <w:t>一</w:t>
      </w:r>
      <w:r>
        <w:rPr>
          <w:rFonts w:ascii="Times New Roman" w:hAnsi="Times New Roman" w:eastAsia="宋体"/>
          <w:i w:val="0"/>
          <w:iCs/>
          <w:color w:val="auto"/>
          <w:sz w:val="21"/>
          <w:szCs w:val="21"/>
        </w:rPr>
        <w:t>）稳健性检验</w:t>
      </w:r>
    </w:p>
    <w:p w14:paraId="0F38D035">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ascii="Times New Roman" w:hAnsi="Times New Roman" w:eastAsia="宋体" w:cs="Times New Roman"/>
          <w:i w:val="0"/>
          <w:iCs/>
          <w:color w:val="auto"/>
          <w:sz w:val="21"/>
          <w:szCs w:val="21"/>
        </w:rPr>
        <w:t>1.重新定义解释变量再检验</w:t>
      </w:r>
    </w:p>
    <w:p w14:paraId="3CF418F6">
      <w:pPr>
        <w:keepNext w:val="0"/>
        <w:keepLines w:val="0"/>
        <w:pageBreakBefore w:val="0"/>
        <w:widowControl/>
        <w:kinsoku/>
        <w:wordWrap/>
        <w:overflowPunct/>
        <w:topLinePunct w:val="0"/>
        <w:autoSpaceDE/>
        <w:autoSpaceDN/>
        <w:bidi w:val="0"/>
        <w:adjustRightInd/>
        <w:snapToGrid w:val="0"/>
        <w:spacing w:line="288" w:lineRule="auto"/>
        <w:ind w:firstLine="420" w:firstLineChars="200"/>
        <w:jc w:val="both"/>
        <w:textAlignment w:val="bottom"/>
        <w:outlineLvl w:val="9"/>
        <w:rPr>
          <w:rFonts w:ascii="Times New Roman" w:hAnsi="Times New Roman" w:eastAsia="宋体" w:cs="Times New Roman"/>
          <w:i w:val="0"/>
          <w:iCs/>
          <w:color w:val="auto"/>
          <w:sz w:val="21"/>
          <w:szCs w:val="21"/>
        </w:rPr>
      </w:pPr>
      <w:r>
        <w:rPr>
          <w:rFonts w:ascii="Times New Roman" w:hAnsi="Times New Roman" w:eastAsia="宋体" w:cs="Times New Roman"/>
          <w:i w:val="0"/>
          <w:iCs/>
          <w:color w:val="auto"/>
          <w:sz w:val="21"/>
          <w:szCs w:val="21"/>
        </w:rPr>
        <w:t>变量的合理定义是实证检验结果具有可信性的重要基础。</w:t>
      </w:r>
      <w:r>
        <w:rPr>
          <w:rFonts w:hint="eastAsia" w:ascii="Times New Roman" w:hAnsi="Times New Roman" w:eastAsia="宋体" w:cs="Times New Roman"/>
          <w:i w:val="0"/>
          <w:iCs/>
          <w:color w:val="auto"/>
          <w:sz w:val="21"/>
          <w:szCs w:val="21"/>
        </w:rPr>
        <w:t>基于省际对考察省际间市场整合效应可进一步考虑在核心解释变量负面清单概念中嵌入省际间联系</w:t>
      </w:r>
      <w:r>
        <w:rPr>
          <w:rFonts w:hint="eastAsia" w:ascii="Times New Roman" w:hAnsi="Times New Roman" w:eastAsia="宋体" w:cs="Times New Roman"/>
          <w:i w:val="0"/>
          <w:iCs/>
          <w:color w:val="auto"/>
          <w:sz w:val="21"/>
          <w:szCs w:val="21"/>
          <w:vertAlign w:val="superscript"/>
        </w:rPr>
        <w:footnoteReference w:id="0"/>
      </w:r>
      <w:r>
        <w:rPr>
          <w:rFonts w:hint="eastAsia" w:ascii="Times New Roman" w:hAnsi="Times New Roman" w:eastAsia="宋体" w:cs="Times New Roman"/>
          <w:i w:val="0"/>
          <w:iCs/>
          <w:color w:val="auto"/>
          <w:sz w:val="21"/>
          <w:szCs w:val="21"/>
        </w:rPr>
        <w:t>，若A省与B省相比于A省与C省的经济往来程度更高，则B省与C省同时实施负面清单的情况下，A-B省际对间试点实施效果相比于省际对A-C会更为明显。为检验核心解释变量设定的敏感性，我们根据2015年中国区域间投入产出表计算推得各省际对间贸易往来交易额</w:t>
      </w:r>
      <m:oMath>
        <m:sSub>
          <m:sSubPr>
            <m:ctrlPr>
              <w:rPr>
                <w:rFonts w:eastAsia="宋体"/>
                <w:i w:val="0"/>
                <w:iCs/>
                <w:color w:val="auto"/>
                <w:sz w:val="21"/>
                <w:szCs w:val="21"/>
              </w:rPr>
            </m:ctrlPr>
          </m:sSubPr>
          <m:e>
            <m:r>
              <m:rPr/>
              <w:rPr>
                <w:rFonts w:eastAsia="宋体"/>
                <w:color w:val="auto"/>
                <w:sz w:val="21"/>
                <w:szCs w:val="21"/>
              </w:rPr>
              <m:t>tradevalue</m:t>
            </m:r>
            <m:ctrlPr>
              <w:rPr>
                <w:rFonts w:eastAsia="宋体"/>
                <w:i w:val="0"/>
                <w:iCs/>
                <w:color w:val="auto"/>
                <w:sz w:val="21"/>
                <w:szCs w:val="21"/>
              </w:rPr>
            </m:ctrlPr>
          </m:e>
          <m:sub>
            <m:r>
              <m:rPr/>
              <w:rPr>
                <w:rFonts w:eastAsia="宋体"/>
                <w:color w:val="auto"/>
                <w:sz w:val="21"/>
                <w:szCs w:val="21"/>
              </w:rPr>
              <m:t>ij</m:t>
            </m:r>
            <m:r>
              <m:rPr/>
              <w:rPr>
                <w:rFonts w:hint="default" w:ascii="Cambria Math" w:hAnsi="Cambria Math" w:eastAsia="宋体"/>
                <w:color w:val="auto"/>
                <w:sz w:val="21"/>
                <w:szCs w:val="21"/>
                <w:lang w:val="en-US" w:eastAsia="zh-CN"/>
              </w:rPr>
              <m:t>,2015</m:t>
            </m:r>
            <m:ctrlPr>
              <w:rPr>
                <w:rFonts w:eastAsia="宋体"/>
                <w:i w:val="0"/>
                <w:iCs/>
                <w:color w:val="auto"/>
                <w:sz w:val="21"/>
                <w:szCs w:val="21"/>
              </w:rPr>
            </m:ctrlPr>
          </m:sub>
        </m:sSub>
      </m:oMath>
      <w:r>
        <w:rPr>
          <w:rFonts w:hint="eastAsia" w:ascii="Times New Roman" w:hAnsi="Times New Roman" w:eastAsia="宋体" w:cs="Times New Roman"/>
          <w:i w:val="0"/>
          <w:iCs/>
          <w:color w:val="auto"/>
          <w:sz w:val="21"/>
          <w:szCs w:val="21"/>
        </w:rPr>
        <w:t>，并以其组合内的最大值进行标准化，以此表示省际间经济往来密切程度，参照如下式构建负面清单制度变量：</w:t>
      </w:r>
    </w:p>
    <w:p w14:paraId="0EB546CE">
      <w:pPr>
        <w:keepNext w:val="0"/>
        <w:keepLines w:val="0"/>
        <w:pageBreakBefore w:val="0"/>
        <w:widowControl/>
        <w:kinsoku/>
        <w:wordWrap/>
        <w:overflowPunct/>
        <w:topLinePunct w:val="0"/>
        <w:autoSpaceDE/>
        <w:autoSpaceDN/>
        <w:bidi w:val="0"/>
        <w:adjustRightInd/>
        <w:snapToGrid w:val="0"/>
        <w:spacing w:line="288" w:lineRule="auto"/>
        <w:ind w:firstLine="420" w:firstLineChars="200"/>
        <w:jc w:val="center"/>
        <w:textAlignment w:val="bottom"/>
        <w:outlineLvl w:val="9"/>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position w:val="-34"/>
          <w:sz w:val="21"/>
          <w:szCs w:val="21"/>
        </w:rPr>
        <w:object>
          <v:shape id="_x0000_i1025" o:spt="75" type="#_x0000_t75" style="height:34pt;width:215.9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p>
    <w:p w14:paraId="4ACE770C">
      <w:pPr>
        <w:keepNext w:val="0"/>
        <w:keepLines w:val="0"/>
        <w:pageBreakBefore w:val="0"/>
        <w:widowControl/>
        <w:kinsoku/>
        <w:overflowPunct/>
        <w:topLinePunct w:val="0"/>
        <w:autoSpaceDE/>
        <w:autoSpaceDN/>
        <w:bidi w:val="0"/>
        <w:adjustRightInd/>
        <w:snapToGrid w:val="0"/>
        <w:spacing w:line="288" w:lineRule="auto"/>
        <w:ind w:firstLine="420" w:firstLineChars="200"/>
        <w:jc w:val="both"/>
        <w:textAlignment w:val="bottom"/>
        <w:outlineLvl w:val="9"/>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其中，</w:t>
      </w:r>
      <m:oMath>
        <m:r>
          <m:rPr/>
          <w:rPr>
            <w:rFonts w:eastAsia="宋体"/>
            <w:color w:val="auto"/>
            <w:sz w:val="21"/>
            <w:szCs w:val="21"/>
          </w:rPr>
          <m:t>I(</m:t>
        </m:r>
        <m:r>
          <m:rPr/>
          <w:rPr>
            <w:color w:val="auto"/>
            <w:sz w:val="21"/>
            <w:szCs w:val="21"/>
          </w:rPr>
          <m:t>∙</m:t>
        </m:r>
        <m:r>
          <m:rPr/>
          <w:rPr>
            <w:rFonts w:eastAsia="宋体"/>
            <w:color w:val="auto"/>
            <w:sz w:val="21"/>
            <w:szCs w:val="21"/>
          </w:rPr>
          <m:t>)</m:t>
        </m:r>
      </m:oMath>
      <w:r>
        <w:rPr>
          <w:rFonts w:hint="eastAsia" w:ascii="Cambria Math" w:hAnsi="Cambria Math" w:eastAsia="宋体" w:cs="Times New Roman"/>
          <w:i w:val="0"/>
          <w:iCs/>
          <w:color w:val="auto"/>
          <w:sz w:val="21"/>
          <w:szCs w:val="21"/>
        </w:rPr>
        <w:t>为指示函数，若满足指示条件，则定义为1，否则为0</w:t>
      </w:r>
      <w:r>
        <w:rPr>
          <w:rFonts w:hint="eastAsia" w:ascii="Cambria Math" w:hAnsi="Cambria Math" w:eastAsia="宋体" w:cs="Times New Roman"/>
          <w:i w:val="0"/>
          <w:iCs/>
          <w:color w:val="auto"/>
          <w:sz w:val="21"/>
          <w:szCs w:val="21"/>
          <w:lang w:eastAsia="zh-CN"/>
        </w:rPr>
        <w:t>，</w:t>
      </w:r>
      <m:oMath>
        <m:sSub>
          <m:sSubPr>
            <m:ctrlPr>
              <w:rPr>
                <w:rFonts w:ascii="Cambria Math" w:hAnsi="Cambria Math"/>
                <w:i/>
                <w:iCs/>
                <w:color w:val="auto"/>
                <w:sz w:val="21"/>
                <w:szCs w:val="21"/>
              </w:rPr>
            </m:ctrlPr>
          </m:sSubPr>
          <m:e>
            <m:r>
              <m:rPr/>
              <w:rPr>
                <w:rFonts w:hint="default" w:ascii="Cambria Math" w:hAnsi="Cambria Math"/>
                <w:color w:val="auto"/>
                <w:sz w:val="21"/>
                <w:szCs w:val="21"/>
                <w:lang w:val="en-US" w:eastAsia="zh-CN"/>
              </w:rPr>
              <m:t>sℎare_tradevalue</m:t>
            </m:r>
            <m:ctrlPr>
              <w:rPr>
                <w:rFonts w:ascii="Cambria Math" w:hAnsi="Cambria Math"/>
                <w:i/>
                <w:iCs/>
                <w:color w:val="auto"/>
                <w:sz w:val="21"/>
                <w:szCs w:val="21"/>
              </w:rPr>
            </m:ctrlPr>
          </m:e>
          <m:sub>
            <m:r>
              <m:rPr/>
              <w:rPr>
                <w:rFonts w:hint="default" w:ascii="Cambria Math" w:hAnsi="Cambria Math"/>
                <w:color w:val="auto"/>
                <w:sz w:val="21"/>
                <w:szCs w:val="21"/>
                <w:lang w:val="en-US" w:eastAsia="zh-CN"/>
              </w:rPr>
              <m:t>ij,2015</m:t>
            </m:r>
            <m:ctrlPr>
              <w:rPr>
                <w:rFonts w:ascii="Cambria Math" w:hAnsi="Cambria Math"/>
                <w:i/>
                <w:iCs/>
                <w:color w:val="auto"/>
                <w:sz w:val="21"/>
                <w:szCs w:val="21"/>
              </w:rPr>
            </m:ctrlPr>
          </m:sub>
        </m:sSub>
      </m:oMath>
      <w:r>
        <w:rPr>
          <w:rFonts w:hint="eastAsia" w:ascii="Cambria Math" w:hAnsi="Cambria Math" w:eastAsia="宋体" w:cs="Times New Roman"/>
          <w:i w:val="0"/>
          <w:iCs/>
          <w:color w:val="auto"/>
          <w:sz w:val="21"/>
          <w:szCs w:val="21"/>
          <w:lang w:val="en-US" w:eastAsia="zh-CN"/>
        </w:rPr>
        <w:t>为省际对i-j贸易往来交易额占i省与其它各省间贸易往来总交易额的比例。</w:t>
      </w:r>
      <w:r>
        <w:rPr>
          <w:rFonts w:hint="eastAsia" w:ascii="Cambria Math" w:hAnsi="Cambria Math" w:eastAsia="宋体" w:cs="Times New Roman"/>
          <w:i w:val="0"/>
          <w:iCs/>
          <w:color w:val="auto"/>
          <w:sz w:val="21"/>
          <w:szCs w:val="21"/>
        </w:rPr>
        <w:t>以此替换原变量进行回归的结果如</w:t>
      </w:r>
      <w:r>
        <w:rPr>
          <w:rFonts w:hint="eastAsia" w:ascii="Cambria Math" w:hAnsi="Cambria Math" w:eastAsia="宋体" w:cs="Times New Roman"/>
          <w:i w:val="0"/>
          <w:iCs/>
          <w:color w:val="auto"/>
          <w:sz w:val="21"/>
          <w:szCs w:val="21"/>
          <w:lang w:val="en-US" w:eastAsia="zh-CN"/>
        </w:rPr>
        <w:t>附表</w:t>
      </w:r>
      <w:r>
        <w:rPr>
          <w:rFonts w:hint="eastAsia" w:ascii="Cambria Math" w:hAnsi="Cambria Math" w:eastAsia="宋体" w:cs="Times New Roman"/>
          <w:i w:val="0"/>
          <w:iCs/>
          <w:color w:val="auto"/>
          <w:sz w:val="21"/>
          <w:szCs w:val="21"/>
        </w:rPr>
        <w:t>第（1）列所示，回归结果依旧显著为正，表明本文基准回归结果及相应结论并未受核心解释变量定义影响产生偏误。</w:t>
      </w:r>
    </w:p>
    <w:p w14:paraId="68232EC8">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2.重新划分处理组与控制组再检验</w:t>
      </w:r>
    </w:p>
    <w:p w14:paraId="65694C27">
      <w:pPr>
        <w:widowControl/>
        <w:snapToGrid w:val="0"/>
        <w:spacing w:line="288" w:lineRule="auto"/>
        <w:ind w:firstLine="420" w:firstLineChars="200"/>
        <w:jc w:val="both"/>
        <w:textAlignment w:val="bottom"/>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基准回归中，本文基于省际对单边省份角度为其定义自己的处理组与控制组，该部分稳健性检验中，我们进一步以省际对为单位定义处理组与控制组</w:t>
      </w:r>
      <w:r>
        <w:rPr>
          <w:rFonts w:hint="eastAsia" w:ascii="Times New Roman" w:hAnsi="Times New Roman" w:eastAsia="宋体" w:cs="Times New Roman"/>
          <w:i w:val="0"/>
          <w:iCs/>
          <w:color w:val="auto"/>
          <w:sz w:val="21"/>
          <w:szCs w:val="21"/>
          <w:lang w:eastAsia="zh-CN"/>
        </w:rPr>
        <w:t>，</w:t>
      </w:r>
      <w:r>
        <w:rPr>
          <w:rFonts w:hint="eastAsia" w:ascii="Times New Roman" w:hAnsi="Times New Roman" w:eastAsia="宋体" w:cs="Times New Roman"/>
          <w:i w:val="0"/>
          <w:iCs/>
          <w:color w:val="auto"/>
          <w:sz w:val="21"/>
          <w:szCs w:val="21"/>
        </w:rPr>
        <w:t>以便对本文核心解释变量敏感性进行检验，若省际对中任何一方在样本期内实行了负面清单制度，则定义其为处理组，同时定义该省际对</w:t>
      </w:r>
      <w:r>
        <w:rPr>
          <w:rFonts w:hint="eastAsia" w:ascii="Times New Roman" w:hAnsi="Times New Roman" w:eastAsia="宋体" w:cs="Times New Roman"/>
          <w:i w:val="0"/>
          <w:iCs/>
          <w:color w:val="auto"/>
          <w:sz w:val="21"/>
          <w:szCs w:val="21"/>
          <w:lang w:val="en-US" w:eastAsia="zh-CN"/>
        </w:rPr>
        <w:t>变量</w:t>
      </w:r>
      <w:r>
        <w:rPr>
          <w:rFonts w:hint="eastAsia" w:ascii="Times New Roman" w:hAnsi="Times New Roman" w:eastAsia="宋体" w:cs="Times New Roman"/>
          <w:i w:val="0"/>
          <w:iCs/>
          <w:color w:val="auto"/>
          <w:sz w:val="21"/>
          <w:szCs w:val="21"/>
        </w:rPr>
        <w:t>政策实行当年及以后年份为1，否则为0；若省际对双方均未实行负面清单制度，则定义其为控制组</w:t>
      </w:r>
      <w:r>
        <w:rPr>
          <w:rFonts w:hint="eastAsia" w:ascii="Times New Roman" w:hAnsi="Times New Roman" w:eastAsia="宋体" w:cs="Times New Roman"/>
          <w:i w:val="0"/>
          <w:iCs/>
          <w:color w:val="auto"/>
          <w:sz w:val="21"/>
          <w:szCs w:val="21"/>
          <w:vertAlign w:val="superscript"/>
        </w:rPr>
        <w:footnoteReference w:id="1"/>
      </w:r>
      <w:r>
        <w:rPr>
          <w:rFonts w:hint="eastAsia" w:ascii="Times New Roman" w:hAnsi="Times New Roman" w:eastAsia="宋体" w:cs="Times New Roman"/>
          <w:i w:val="0"/>
          <w:iCs/>
          <w:color w:val="auto"/>
          <w:sz w:val="21"/>
          <w:szCs w:val="21"/>
        </w:rPr>
        <w:t>，该省际对的核心解释变量则持续为0。参照该方法进行定义的</w:t>
      </w:r>
      <w:r>
        <w:rPr>
          <w:rFonts w:ascii="Times New Roman" w:hAnsi="Times New Roman" w:eastAsia="宋体" w:cs="Times New Roman"/>
          <w:i w:val="0"/>
          <w:iCs/>
          <w:color w:val="auto"/>
          <w:sz w:val="21"/>
          <w:szCs w:val="21"/>
        </w:rPr>
        <w:t>回归结果</w:t>
      </w:r>
      <w:r>
        <w:rPr>
          <w:rFonts w:hint="eastAsia" w:ascii="Times New Roman" w:hAnsi="Times New Roman" w:eastAsia="宋体" w:cs="Times New Roman"/>
          <w:i w:val="0"/>
          <w:iCs/>
          <w:color w:val="auto"/>
          <w:sz w:val="21"/>
          <w:szCs w:val="21"/>
        </w:rPr>
        <w:t>列于</w:t>
      </w:r>
      <w:r>
        <w:rPr>
          <w:rFonts w:hint="eastAsia" w:ascii="Times New Roman" w:hAnsi="Times New Roman" w:eastAsia="宋体" w:cs="Times New Roman"/>
          <w:i w:val="0"/>
          <w:iCs/>
          <w:color w:val="auto"/>
          <w:sz w:val="21"/>
          <w:szCs w:val="21"/>
          <w:lang w:val="en-US" w:eastAsia="zh-CN"/>
        </w:rPr>
        <w:t>附表</w:t>
      </w:r>
      <w:r>
        <w:rPr>
          <w:rFonts w:hint="eastAsia" w:ascii="Times New Roman" w:hAnsi="Times New Roman" w:eastAsia="宋体" w:cs="Times New Roman"/>
          <w:i w:val="0"/>
          <w:iCs/>
          <w:color w:val="auto"/>
          <w:sz w:val="21"/>
          <w:szCs w:val="21"/>
        </w:rPr>
        <w:t>列（2）</w:t>
      </w:r>
      <w:r>
        <w:rPr>
          <w:rFonts w:ascii="Times New Roman" w:hAnsi="Times New Roman" w:eastAsia="宋体" w:cs="Times New Roman"/>
          <w:i w:val="0"/>
          <w:iCs/>
          <w:color w:val="auto"/>
          <w:sz w:val="21"/>
          <w:szCs w:val="21"/>
        </w:rPr>
        <w:t>，</w:t>
      </w:r>
      <w:r>
        <w:rPr>
          <w:rFonts w:hint="eastAsia" w:ascii="Times New Roman" w:hAnsi="Times New Roman" w:eastAsia="宋体" w:cs="Times New Roman"/>
          <w:i w:val="0"/>
          <w:iCs/>
          <w:color w:val="auto"/>
          <w:sz w:val="21"/>
          <w:szCs w:val="21"/>
        </w:rPr>
        <w:t>结果显示</w:t>
      </w:r>
      <w:r>
        <w:rPr>
          <w:rFonts w:ascii="Times New Roman" w:hAnsi="Times New Roman" w:eastAsia="宋体" w:cs="Times New Roman"/>
          <w:i w:val="0"/>
          <w:iCs/>
          <w:color w:val="auto"/>
          <w:sz w:val="21"/>
          <w:szCs w:val="21"/>
        </w:rPr>
        <w:t>在更换解释变量的定义方法后，</w:t>
      </w:r>
      <w:r>
        <w:rPr>
          <w:rFonts w:hint="eastAsia" w:ascii="Times New Roman" w:hAnsi="Times New Roman" w:eastAsia="宋体" w:cs="Times New Roman"/>
          <w:i w:val="0"/>
          <w:iCs/>
          <w:color w:val="auto"/>
          <w:sz w:val="21"/>
          <w:szCs w:val="21"/>
        </w:rPr>
        <w:t>负面清单制度对市场整合的促进作用依旧显著存在</w:t>
      </w:r>
      <w:r>
        <w:rPr>
          <w:rFonts w:ascii="Times New Roman" w:hAnsi="Times New Roman" w:eastAsia="宋体" w:cs="Times New Roman"/>
          <w:i w:val="0"/>
          <w:iCs/>
          <w:color w:val="auto"/>
          <w:sz w:val="21"/>
          <w:szCs w:val="21"/>
        </w:rPr>
        <w:t>，结论稳健。</w:t>
      </w:r>
    </w:p>
    <w:p w14:paraId="19BDC003">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3</w:t>
      </w:r>
      <w:r>
        <w:rPr>
          <w:rFonts w:ascii="Times New Roman" w:hAnsi="Times New Roman" w:eastAsia="宋体" w:cs="Times New Roman"/>
          <w:i w:val="0"/>
          <w:iCs/>
          <w:color w:val="auto"/>
          <w:sz w:val="21"/>
          <w:szCs w:val="21"/>
        </w:rPr>
        <w:t>.</w:t>
      </w:r>
      <w:r>
        <w:rPr>
          <w:rFonts w:hint="eastAsia" w:ascii="Times New Roman" w:hAnsi="Times New Roman" w:eastAsia="宋体" w:cs="Times New Roman"/>
          <w:i w:val="0"/>
          <w:iCs/>
          <w:color w:val="auto"/>
          <w:sz w:val="21"/>
          <w:szCs w:val="21"/>
        </w:rPr>
        <w:t>控制单边省份-时间变化趋势再考察</w:t>
      </w:r>
    </w:p>
    <w:p w14:paraId="53A0C47E">
      <w:pPr>
        <w:widowControl/>
        <w:snapToGrid w:val="0"/>
        <w:spacing w:line="288" w:lineRule="auto"/>
        <w:ind w:firstLine="420" w:firstLineChars="200"/>
        <w:jc w:val="both"/>
        <w:textAlignment w:val="bottom"/>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在本文基准回归中，我们基于单边省份i角度为其定义相应的处理组与控制组，理论上可以认为该种定义方式能够有效排除单边省份i的自身特征对本文政策识别效果的干扰。从数据特征来看，省对间单边省份i存在是否实行负面清单试点政策的区别，为排除单边省份i的自身特征对本文识别结果的干扰，进一步在回归中纳入单边省份i以及省份i-时间</w:t>
      </w:r>
      <w:r>
        <w:rPr>
          <w:rFonts w:hint="eastAsia" w:ascii="Times New Roman" w:hAnsi="Times New Roman" w:eastAsia="宋体" w:cs="Times New Roman"/>
          <w:i w:val="0"/>
          <w:iCs/>
          <w:color w:val="auto"/>
          <w:sz w:val="21"/>
          <w:szCs w:val="21"/>
          <w:lang w:val="en-US" w:eastAsia="zh-CN"/>
        </w:rPr>
        <w:t>t</w:t>
      </w:r>
      <w:r>
        <w:rPr>
          <w:rFonts w:hint="eastAsia" w:ascii="Times New Roman" w:hAnsi="Times New Roman" w:eastAsia="宋体" w:cs="Times New Roman"/>
          <w:i w:val="0"/>
          <w:iCs/>
          <w:color w:val="auto"/>
          <w:sz w:val="21"/>
          <w:szCs w:val="21"/>
        </w:rPr>
        <w:t>维度的固定效应，回归结果如</w:t>
      </w:r>
      <w:r>
        <w:rPr>
          <w:rFonts w:hint="eastAsia" w:ascii="Times New Roman" w:hAnsi="Times New Roman" w:eastAsia="宋体" w:cs="Times New Roman"/>
          <w:i w:val="0"/>
          <w:iCs/>
          <w:color w:val="auto"/>
          <w:sz w:val="21"/>
          <w:szCs w:val="21"/>
          <w:lang w:val="en-US" w:eastAsia="zh-CN"/>
        </w:rPr>
        <w:t>附表</w:t>
      </w:r>
      <w:r>
        <w:rPr>
          <w:rFonts w:hint="eastAsia" w:ascii="Times New Roman" w:hAnsi="Times New Roman" w:eastAsia="宋体" w:cs="Times New Roman"/>
          <w:i w:val="0"/>
          <w:iCs/>
          <w:color w:val="auto"/>
          <w:sz w:val="21"/>
          <w:szCs w:val="21"/>
        </w:rPr>
        <w:t>列（3）所示，回归结果变化甚小，表明前文基准回归已能有效控制单边省份i自身特征的影响，结果稳健。</w:t>
      </w:r>
    </w:p>
    <w:p w14:paraId="35C900DD">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4</w:t>
      </w:r>
      <w:r>
        <w:rPr>
          <w:rFonts w:ascii="Times New Roman" w:hAnsi="Times New Roman" w:eastAsia="宋体" w:cs="Times New Roman"/>
          <w:i w:val="0"/>
          <w:iCs/>
          <w:color w:val="auto"/>
          <w:sz w:val="21"/>
          <w:szCs w:val="21"/>
        </w:rPr>
        <w:t>.排除基础设施建设及数字经济发展对市场整合效应的影响</w:t>
      </w:r>
    </w:p>
    <w:p w14:paraId="72B4182C">
      <w:pPr>
        <w:widowControl/>
        <w:snapToGrid w:val="0"/>
        <w:spacing w:line="288" w:lineRule="auto"/>
        <w:ind w:firstLine="420" w:firstLineChars="200"/>
        <w:jc w:val="both"/>
        <w:textAlignment w:val="bottom"/>
        <w:rPr>
          <w:rFonts w:ascii="Times New Roman" w:hAnsi="Times New Roman" w:eastAsia="宋体" w:cs="Times New Roman"/>
          <w:i w:val="0"/>
          <w:iCs/>
          <w:color w:val="auto"/>
          <w:sz w:val="21"/>
          <w:szCs w:val="21"/>
        </w:rPr>
      </w:pPr>
      <w:r>
        <w:rPr>
          <w:rFonts w:ascii="Times New Roman" w:hAnsi="Times New Roman" w:eastAsia="宋体" w:cs="Times New Roman"/>
          <w:i w:val="0"/>
          <w:iCs/>
          <w:color w:val="auto"/>
          <w:sz w:val="21"/>
          <w:szCs w:val="21"/>
        </w:rPr>
        <w:t>市场分割与地区基础设施建设密切相关，已有研究表明地区基础设施的建设对于推进市场一体化建设至关重要（范欣等，2017），此外，数字经济的快速发展对突破地区贸易壁垒、促进市场整合的效应亦得到验证（赵静梅等，2023</w:t>
      </w:r>
      <w:r>
        <w:rPr>
          <w:rStyle w:val="9"/>
          <w:rFonts w:ascii="Times New Roman" w:hAnsi="Times New Roman" w:eastAsia="宋体" w:cs="Times New Roman"/>
          <w:i w:val="0"/>
          <w:iCs/>
          <w:color w:val="auto"/>
          <w:sz w:val="21"/>
          <w:szCs w:val="21"/>
        </w:rPr>
        <w:footnoteReference w:id="2"/>
      </w:r>
      <w:r>
        <w:rPr>
          <w:rFonts w:ascii="Times New Roman" w:hAnsi="Times New Roman" w:eastAsia="宋体" w:cs="Times New Roman"/>
          <w:i w:val="0"/>
          <w:iCs/>
          <w:color w:val="auto"/>
          <w:sz w:val="21"/>
          <w:szCs w:val="21"/>
        </w:rPr>
        <w:t>）。本文测度的市场整合效应若是混淆了地区基础设施建设及数字经济发展带来的市场一体化效应，将明显导致制度型开放市场整合效应的高估。为排除地区基础设施建设尤其是地区交通网络建设以及数字经济发展对本文结论的干扰，首先，构造地区交通基础设施建设水平指标与地区数字经济发展水平指标，参照罗知等（2018）</w:t>
      </w:r>
      <w:r>
        <w:rPr>
          <w:rStyle w:val="9"/>
          <w:rFonts w:ascii="Times New Roman" w:hAnsi="Times New Roman" w:eastAsia="宋体" w:cs="Times New Roman"/>
          <w:i w:val="0"/>
          <w:iCs/>
          <w:color w:val="auto"/>
          <w:sz w:val="21"/>
          <w:szCs w:val="21"/>
        </w:rPr>
        <w:footnoteReference w:id="3"/>
      </w:r>
      <w:r>
        <w:rPr>
          <w:rFonts w:ascii="Times New Roman" w:hAnsi="Times New Roman" w:eastAsia="宋体" w:cs="Times New Roman"/>
          <w:i w:val="0"/>
          <w:iCs/>
          <w:color w:val="auto"/>
          <w:sz w:val="21"/>
          <w:szCs w:val="21"/>
        </w:rPr>
        <w:t>对基础设施水平的度量方法，以交通线路密度进行衡量，即以铁路里程数与公路里程数之和与地区面积的比值表示，参照赵涛等（2020）</w:t>
      </w:r>
      <w:r>
        <w:rPr>
          <w:rStyle w:val="9"/>
          <w:rFonts w:ascii="Times New Roman" w:hAnsi="Times New Roman" w:eastAsia="宋体" w:cs="Times New Roman"/>
          <w:i w:val="0"/>
          <w:iCs/>
          <w:color w:val="auto"/>
          <w:sz w:val="21"/>
          <w:szCs w:val="21"/>
        </w:rPr>
        <w:footnoteReference w:id="4"/>
      </w:r>
      <w:r>
        <w:rPr>
          <w:rFonts w:ascii="Times New Roman" w:hAnsi="Times New Roman" w:eastAsia="宋体" w:cs="Times New Roman"/>
          <w:i w:val="0"/>
          <w:iCs/>
          <w:color w:val="auto"/>
          <w:sz w:val="21"/>
          <w:szCs w:val="21"/>
        </w:rPr>
        <w:t>对地区数字经济发展水平的构造方法，通过主成分分析法构造数字经济综合发展指标</w:t>
      </w:r>
      <w:r>
        <w:rPr>
          <w:rFonts w:ascii="Times New Roman" w:hAnsi="Times New Roman" w:eastAsia="宋体" w:cs="Times New Roman"/>
          <w:i w:val="0"/>
          <w:iCs/>
          <w:color w:val="auto"/>
          <w:sz w:val="21"/>
          <w:szCs w:val="21"/>
          <w:vertAlign w:val="superscript"/>
        </w:rPr>
        <w:footnoteReference w:id="5"/>
      </w:r>
      <w:r>
        <w:rPr>
          <w:rFonts w:ascii="Times New Roman" w:hAnsi="Times New Roman" w:eastAsia="宋体" w:cs="Times New Roman"/>
          <w:i w:val="0"/>
          <w:iCs/>
          <w:color w:val="auto"/>
          <w:sz w:val="21"/>
          <w:szCs w:val="21"/>
        </w:rPr>
        <w:t>。其次，在识别策略的选取上，参照曹春方等（2017）识别策略：第一步，以市场整合指数为被解释变量同时对基础设施水平指标与数字经济发展水平指标进行回归，并得到其残差，则该残差即是排除基础设施建设因素与地区数字经济发展因素对市场整合的促进效应后的市场整合水平；第二步，以该残差替代原模型（1）中的被解释变量进行回归。结果如</w:t>
      </w:r>
      <w:r>
        <w:rPr>
          <w:rFonts w:hint="eastAsia" w:ascii="Times New Roman" w:hAnsi="Times New Roman" w:eastAsia="宋体" w:cs="Times New Roman"/>
          <w:i w:val="0"/>
          <w:iCs/>
          <w:color w:val="auto"/>
          <w:sz w:val="21"/>
          <w:szCs w:val="21"/>
          <w:lang w:val="en-US" w:eastAsia="zh-CN"/>
        </w:rPr>
        <w:t>附表</w:t>
      </w:r>
      <w:r>
        <w:rPr>
          <w:rFonts w:ascii="Times New Roman" w:hAnsi="Times New Roman" w:eastAsia="宋体" w:cs="Times New Roman"/>
          <w:i w:val="0"/>
          <w:iCs/>
          <w:color w:val="auto"/>
          <w:sz w:val="21"/>
          <w:szCs w:val="21"/>
        </w:rPr>
        <w:t>列（</w:t>
      </w:r>
      <w:r>
        <w:rPr>
          <w:rFonts w:hint="eastAsia" w:ascii="Times New Roman" w:hAnsi="Times New Roman" w:eastAsia="宋体" w:cs="Times New Roman"/>
          <w:i w:val="0"/>
          <w:iCs/>
          <w:color w:val="auto"/>
          <w:sz w:val="21"/>
          <w:szCs w:val="21"/>
        </w:rPr>
        <w:t>4</w:t>
      </w:r>
      <w:r>
        <w:rPr>
          <w:rFonts w:ascii="Times New Roman" w:hAnsi="Times New Roman" w:eastAsia="宋体" w:cs="Times New Roman"/>
          <w:i w:val="0"/>
          <w:iCs/>
          <w:color w:val="auto"/>
          <w:sz w:val="21"/>
          <w:szCs w:val="21"/>
        </w:rPr>
        <w:t>）-列（</w:t>
      </w:r>
      <w:r>
        <w:rPr>
          <w:rFonts w:hint="eastAsia" w:ascii="Times New Roman" w:hAnsi="Times New Roman" w:eastAsia="宋体" w:cs="Times New Roman"/>
          <w:i w:val="0"/>
          <w:iCs/>
          <w:color w:val="auto"/>
          <w:sz w:val="21"/>
          <w:szCs w:val="21"/>
        </w:rPr>
        <w:t>5</w:t>
      </w:r>
      <w:r>
        <w:rPr>
          <w:rFonts w:ascii="Times New Roman" w:hAnsi="Times New Roman" w:eastAsia="宋体" w:cs="Times New Roman"/>
          <w:i w:val="0"/>
          <w:iCs/>
          <w:color w:val="auto"/>
          <w:sz w:val="21"/>
          <w:szCs w:val="21"/>
        </w:rPr>
        <w:t>）所示，基础设施建设显著促进了地区间市场一体化水平的提升，然而数字经济发展并未对省际对间市场整合产生显著影响，在剔除两因素影响后，制度型开放的市场整合效应依旧显著，且变化很小，结论稳健。</w:t>
      </w:r>
    </w:p>
    <w:p w14:paraId="27658976">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5</w:t>
      </w:r>
      <w:r>
        <w:rPr>
          <w:rFonts w:ascii="Times New Roman" w:hAnsi="Times New Roman" w:eastAsia="宋体" w:cs="Times New Roman"/>
          <w:i w:val="0"/>
          <w:iCs/>
          <w:color w:val="auto"/>
          <w:sz w:val="21"/>
          <w:szCs w:val="21"/>
        </w:rPr>
        <w:t>.排除同期其它政策影响</w:t>
      </w:r>
    </w:p>
    <w:p w14:paraId="5466C674">
      <w:pPr>
        <w:widowControl/>
        <w:snapToGrid w:val="0"/>
        <w:spacing w:line="288" w:lineRule="auto"/>
        <w:ind w:firstLine="420" w:firstLineChars="200"/>
        <w:jc w:val="both"/>
        <w:textAlignment w:val="bottom"/>
        <w:rPr>
          <w:rFonts w:ascii="Times New Roman" w:hAnsi="Times New Roman" w:eastAsia="宋体" w:cs="Times New Roman"/>
          <w:i w:val="0"/>
          <w:iCs/>
          <w:color w:val="auto"/>
          <w:sz w:val="21"/>
          <w:szCs w:val="21"/>
        </w:rPr>
      </w:pPr>
      <w:r>
        <w:rPr>
          <w:rFonts w:ascii="Times New Roman" w:hAnsi="Times New Roman" w:eastAsia="宋体" w:cs="Times New Roman"/>
          <w:i w:val="0"/>
          <w:iCs/>
          <w:color w:val="auto"/>
          <w:sz w:val="21"/>
          <w:szCs w:val="21"/>
        </w:rPr>
        <w:t>本部分主要围绕自贸试验区建设对本文政策效应识别效果的影响进行考察。样本期内自贸试验区建设与市场准入负面清单制度实行时间具有一定的重合性，可能对制度型开放的市场整合效应产生叠加效应，降低本文回归结果的可信性。为控制自贸试验区建设对本文政策识别效果产生的干扰，进一步在回归中纳入是否为自贸试验区与成为自贸试验区试点时间的交互项FTA，重新进行回归并考察。回归结果如</w:t>
      </w:r>
      <w:r>
        <w:rPr>
          <w:rFonts w:hint="eastAsia" w:ascii="Times New Roman" w:hAnsi="Times New Roman" w:eastAsia="宋体" w:cs="Times New Roman"/>
          <w:i w:val="0"/>
          <w:iCs/>
          <w:color w:val="auto"/>
          <w:sz w:val="21"/>
          <w:szCs w:val="21"/>
          <w:lang w:val="en-US" w:eastAsia="zh-CN"/>
        </w:rPr>
        <w:t>附表</w:t>
      </w:r>
      <w:r>
        <w:rPr>
          <w:rFonts w:ascii="Times New Roman" w:hAnsi="Times New Roman" w:eastAsia="宋体" w:cs="Times New Roman"/>
          <w:i w:val="0"/>
          <w:iCs/>
          <w:color w:val="auto"/>
          <w:sz w:val="21"/>
          <w:szCs w:val="21"/>
        </w:rPr>
        <w:t>列（</w:t>
      </w:r>
      <w:r>
        <w:rPr>
          <w:rFonts w:hint="eastAsia" w:ascii="Times New Roman" w:hAnsi="Times New Roman" w:eastAsia="宋体" w:cs="Times New Roman"/>
          <w:i w:val="0"/>
          <w:iCs/>
          <w:color w:val="auto"/>
          <w:sz w:val="21"/>
          <w:szCs w:val="21"/>
        </w:rPr>
        <w:t>6</w:t>
      </w:r>
      <w:r>
        <w:rPr>
          <w:rFonts w:ascii="Times New Roman" w:hAnsi="Times New Roman" w:eastAsia="宋体" w:cs="Times New Roman"/>
          <w:i w:val="0"/>
          <w:iCs/>
          <w:color w:val="auto"/>
          <w:sz w:val="21"/>
          <w:szCs w:val="21"/>
        </w:rPr>
        <w:t>）所示，纳入FTA变量后，</w:t>
      </w:r>
      <m:oMath>
        <m:sSub>
          <m:sSubPr>
            <m:ctrlPr>
              <w:rPr>
                <w:rFonts w:eastAsia="宋体"/>
                <w:i w:val="0"/>
                <w:iCs/>
                <w:color w:val="auto"/>
                <w:sz w:val="21"/>
                <w:szCs w:val="21"/>
              </w:rPr>
            </m:ctrlPr>
          </m:sSubPr>
          <m:e>
            <m:r>
              <m:rPr/>
              <w:rPr>
                <w:rFonts w:eastAsia="宋体"/>
                <w:color w:val="auto"/>
                <w:sz w:val="21"/>
                <w:szCs w:val="21"/>
              </w:rPr>
              <m:t>NegList</m:t>
            </m:r>
            <m:ctrlPr>
              <w:rPr>
                <w:rFonts w:eastAsia="宋体"/>
                <w:i w:val="0"/>
                <w:iCs/>
                <w:color w:val="auto"/>
                <w:sz w:val="21"/>
                <w:szCs w:val="21"/>
              </w:rPr>
            </m:ctrlPr>
          </m:e>
          <m:sub>
            <m:r>
              <m:rPr/>
              <w:rPr>
                <w:rFonts w:eastAsia="宋体"/>
                <w:color w:val="auto"/>
                <w:sz w:val="21"/>
                <w:szCs w:val="21"/>
              </w:rPr>
              <m:t>ijt</m:t>
            </m:r>
            <m:ctrlPr>
              <w:rPr>
                <w:rFonts w:eastAsia="宋体"/>
                <w:i w:val="0"/>
                <w:iCs/>
                <w:color w:val="auto"/>
                <w:sz w:val="21"/>
                <w:szCs w:val="21"/>
              </w:rPr>
            </m:ctrlPr>
          </m:sub>
        </m:sSub>
      </m:oMath>
      <w:r>
        <w:rPr>
          <w:rFonts w:ascii="Times New Roman" w:hAnsi="Times New Roman" w:eastAsia="宋体" w:cs="Times New Roman"/>
          <w:i w:val="0"/>
          <w:iCs/>
          <w:color w:val="auto"/>
          <w:sz w:val="21"/>
          <w:szCs w:val="21"/>
        </w:rPr>
        <w:t>的系数依旧显著为正，结果稳健。</w:t>
      </w:r>
    </w:p>
    <w:p w14:paraId="5E9EA483">
      <w:pPr>
        <w:widowControl/>
        <w:snapToGrid w:val="0"/>
        <w:spacing w:line="288" w:lineRule="auto"/>
        <w:jc w:val="center"/>
        <w:textAlignment w:val="bottom"/>
        <w:rPr>
          <w:rFonts w:ascii="Times New Roman" w:hAnsi="Times New Roman" w:eastAsia="黑体" w:cs="Times New Roman"/>
          <w:i w:val="0"/>
          <w:iCs/>
          <w:color w:val="auto"/>
          <w:sz w:val="21"/>
          <w:szCs w:val="21"/>
        </w:rPr>
      </w:pPr>
    </w:p>
    <w:p w14:paraId="5F9368D1">
      <w:pPr>
        <w:widowControl/>
        <w:snapToGrid w:val="0"/>
        <w:spacing w:line="288" w:lineRule="auto"/>
        <w:jc w:val="center"/>
        <w:textAlignment w:val="bottom"/>
        <w:rPr>
          <w:rFonts w:ascii="Times New Roman" w:hAnsi="Times New Roman" w:eastAsia="黑体" w:cs="Times New Roman"/>
          <w:i w:val="0"/>
          <w:iCs/>
          <w:color w:val="auto"/>
          <w:sz w:val="21"/>
          <w:szCs w:val="21"/>
        </w:rPr>
      </w:pPr>
      <w:r>
        <w:rPr>
          <w:rFonts w:hint="eastAsia" w:ascii="Times New Roman" w:hAnsi="Times New Roman" w:eastAsia="黑体" w:cs="Times New Roman"/>
          <w:i w:val="0"/>
          <w:iCs/>
          <w:color w:val="auto"/>
          <w:sz w:val="21"/>
          <w:szCs w:val="21"/>
          <w:lang w:val="en-US" w:eastAsia="zh-CN"/>
        </w:rPr>
        <w:t>附表</w:t>
      </w:r>
      <w:r>
        <w:rPr>
          <w:rFonts w:ascii="Times New Roman" w:hAnsi="Times New Roman" w:eastAsia="黑体" w:cs="Times New Roman"/>
          <w:i w:val="0"/>
          <w:iCs/>
          <w:color w:val="auto"/>
          <w:sz w:val="21"/>
          <w:szCs w:val="21"/>
        </w:rPr>
        <w:t xml:space="preserve"> 稳健性检验</w:t>
      </w:r>
    </w:p>
    <w:tbl>
      <w:tblPr>
        <w:tblStyle w:val="6"/>
        <w:tblW w:w="4998" w:type="pct"/>
        <w:tblInd w:w="0" w:type="dxa"/>
        <w:tblLayout w:type="autofit"/>
        <w:tblCellMar>
          <w:top w:w="0" w:type="dxa"/>
          <w:left w:w="108" w:type="dxa"/>
          <w:bottom w:w="0" w:type="dxa"/>
          <w:right w:w="108" w:type="dxa"/>
        </w:tblCellMar>
      </w:tblPr>
      <w:tblGrid>
        <w:gridCol w:w="1196"/>
        <w:gridCol w:w="976"/>
        <w:gridCol w:w="979"/>
        <w:gridCol w:w="1240"/>
        <w:gridCol w:w="882"/>
        <w:gridCol w:w="960"/>
        <w:gridCol w:w="1175"/>
        <w:gridCol w:w="1111"/>
      </w:tblGrid>
      <w:tr w14:paraId="728AFC2E">
        <w:tblPrEx>
          <w:tblCellMar>
            <w:top w:w="0" w:type="dxa"/>
            <w:left w:w="108" w:type="dxa"/>
            <w:bottom w:w="0" w:type="dxa"/>
            <w:right w:w="108" w:type="dxa"/>
          </w:tblCellMar>
        </w:tblPrEx>
        <w:trPr>
          <w:trHeight w:val="90" w:hRule="atLeast"/>
        </w:trPr>
        <w:tc>
          <w:tcPr>
            <w:tcW w:w="690" w:type="pct"/>
            <w:vMerge w:val="restart"/>
            <w:tcBorders>
              <w:top w:val="single" w:color="auto" w:sz="8" w:space="0"/>
              <w:left w:val="nil"/>
              <w:bottom w:val="single" w:color="auto" w:sz="4" w:space="0"/>
              <w:right w:val="single" w:color="auto" w:sz="4" w:space="0"/>
            </w:tcBorders>
            <w:vAlign w:val="center"/>
          </w:tcPr>
          <w:p w14:paraId="0818C6CE">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变量</w:t>
            </w:r>
          </w:p>
        </w:tc>
        <w:tc>
          <w:tcPr>
            <w:tcW w:w="574" w:type="pct"/>
            <w:tcBorders>
              <w:top w:val="single" w:color="auto" w:sz="8" w:space="0"/>
              <w:left w:val="single" w:color="auto" w:sz="4" w:space="0"/>
              <w:bottom w:val="single" w:color="auto" w:sz="4" w:space="0"/>
              <w:right w:val="single" w:color="auto" w:sz="4" w:space="0"/>
            </w:tcBorders>
            <w:vAlign w:val="center"/>
          </w:tcPr>
          <w:p w14:paraId="3F3348C8">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(1)</w:t>
            </w:r>
          </w:p>
        </w:tc>
        <w:tc>
          <w:tcPr>
            <w:tcW w:w="576" w:type="pct"/>
            <w:tcBorders>
              <w:top w:val="single" w:color="auto" w:sz="8" w:space="0"/>
              <w:left w:val="single" w:color="auto" w:sz="4" w:space="0"/>
              <w:bottom w:val="single" w:color="auto" w:sz="4" w:space="0"/>
              <w:right w:val="single" w:color="auto" w:sz="4" w:space="0"/>
            </w:tcBorders>
            <w:vAlign w:val="center"/>
          </w:tcPr>
          <w:p w14:paraId="310F05A9">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(2)</w:t>
            </w:r>
          </w:p>
        </w:tc>
        <w:tc>
          <w:tcPr>
            <w:tcW w:w="729" w:type="pct"/>
            <w:tcBorders>
              <w:top w:val="single" w:color="auto" w:sz="8" w:space="0"/>
              <w:left w:val="single" w:color="auto" w:sz="4" w:space="0"/>
              <w:bottom w:val="single" w:color="auto" w:sz="4" w:space="0"/>
              <w:right w:val="single" w:color="auto" w:sz="4" w:space="0"/>
            </w:tcBorders>
            <w:vAlign w:val="center"/>
          </w:tcPr>
          <w:p w14:paraId="1E9B2C39">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(3)</w:t>
            </w:r>
          </w:p>
        </w:tc>
        <w:tc>
          <w:tcPr>
            <w:tcW w:w="519" w:type="pct"/>
            <w:tcBorders>
              <w:top w:val="single" w:color="auto" w:sz="8" w:space="0"/>
              <w:left w:val="single" w:color="auto" w:sz="4" w:space="0"/>
              <w:bottom w:val="single" w:color="auto" w:sz="4" w:space="0"/>
              <w:right w:val="single" w:color="auto" w:sz="4" w:space="0"/>
            </w:tcBorders>
            <w:vAlign w:val="center"/>
          </w:tcPr>
          <w:p w14:paraId="34E38433">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(4)</w:t>
            </w:r>
          </w:p>
        </w:tc>
        <w:tc>
          <w:tcPr>
            <w:tcW w:w="565" w:type="pct"/>
            <w:tcBorders>
              <w:top w:val="single" w:color="auto" w:sz="8" w:space="0"/>
              <w:left w:val="single" w:color="auto" w:sz="4" w:space="0"/>
              <w:bottom w:val="single" w:color="auto" w:sz="4" w:space="0"/>
              <w:right w:val="single" w:color="auto" w:sz="4" w:space="0"/>
            </w:tcBorders>
            <w:vAlign w:val="center"/>
          </w:tcPr>
          <w:p w14:paraId="281182F3">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(5)</w:t>
            </w:r>
          </w:p>
        </w:tc>
        <w:tc>
          <w:tcPr>
            <w:tcW w:w="690" w:type="pct"/>
            <w:tcBorders>
              <w:top w:val="single" w:color="auto" w:sz="8" w:space="0"/>
              <w:left w:val="single" w:color="auto" w:sz="4" w:space="0"/>
              <w:bottom w:val="single" w:color="auto" w:sz="4" w:space="0"/>
              <w:right w:val="single" w:color="auto" w:sz="4" w:space="0"/>
            </w:tcBorders>
            <w:vAlign w:val="center"/>
          </w:tcPr>
          <w:p w14:paraId="658FE9D7">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(6)</w:t>
            </w:r>
          </w:p>
        </w:tc>
        <w:tc>
          <w:tcPr>
            <w:tcW w:w="653" w:type="pct"/>
            <w:tcBorders>
              <w:top w:val="single" w:color="auto" w:sz="8" w:space="0"/>
              <w:left w:val="single" w:color="auto" w:sz="4" w:space="0"/>
              <w:bottom w:val="single" w:color="auto" w:sz="4" w:space="0"/>
              <w:right w:val="nil"/>
            </w:tcBorders>
            <w:vAlign w:val="center"/>
          </w:tcPr>
          <w:p w14:paraId="6A9C1295">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w:t>
            </w:r>
            <w:r>
              <w:rPr>
                <w:rFonts w:hint="eastAsia" w:ascii="Times New Roman" w:hAnsi="Times New Roman" w:eastAsia="宋体" w:cs="Times New Roman"/>
                <w:i w:val="0"/>
                <w:color w:val="auto"/>
                <w:sz w:val="18"/>
                <w:szCs w:val="18"/>
              </w:rPr>
              <w:t>7</w:t>
            </w:r>
            <w:r>
              <w:rPr>
                <w:rFonts w:ascii="Times New Roman" w:hAnsi="Times New Roman" w:eastAsia="宋体" w:cs="Times New Roman"/>
                <w:i w:val="0"/>
                <w:color w:val="auto"/>
                <w:sz w:val="18"/>
                <w:szCs w:val="18"/>
              </w:rPr>
              <w:t>)</w:t>
            </w:r>
          </w:p>
        </w:tc>
      </w:tr>
      <w:tr w14:paraId="5061AAE0">
        <w:tblPrEx>
          <w:tblCellMar>
            <w:top w:w="0" w:type="dxa"/>
            <w:left w:w="108" w:type="dxa"/>
            <w:bottom w:w="0" w:type="dxa"/>
            <w:right w:w="108" w:type="dxa"/>
          </w:tblCellMar>
        </w:tblPrEx>
        <w:tc>
          <w:tcPr>
            <w:tcW w:w="690" w:type="pct"/>
            <w:vMerge w:val="continue"/>
            <w:tcBorders>
              <w:top w:val="single" w:color="auto" w:sz="4" w:space="0"/>
              <w:left w:val="nil"/>
              <w:bottom w:val="single" w:color="auto" w:sz="4" w:space="0"/>
              <w:right w:val="single" w:color="auto" w:sz="4" w:space="0"/>
            </w:tcBorders>
            <w:vAlign w:val="center"/>
          </w:tcPr>
          <w:p w14:paraId="2002B700">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74" w:type="pct"/>
            <w:vMerge w:val="restart"/>
            <w:tcBorders>
              <w:top w:val="single" w:color="auto" w:sz="4" w:space="0"/>
              <w:left w:val="single" w:color="auto" w:sz="4" w:space="0"/>
              <w:right w:val="single" w:color="auto" w:sz="4" w:space="0"/>
            </w:tcBorders>
            <w:vAlign w:val="center"/>
          </w:tcPr>
          <w:p w14:paraId="3368791F">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hint="eastAsia" w:ascii="Times New Roman" w:hAnsi="Times New Roman" w:eastAsia="宋体" w:cs="Times New Roman"/>
                <w:i w:val="0"/>
                <w:color w:val="auto"/>
                <w:sz w:val="18"/>
                <w:szCs w:val="18"/>
              </w:rPr>
              <w:t>重新定义解释变量</w:t>
            </w:r>
          </w:p>
        </w:tc>
        <w:tc>
          <w:tcPr>
            <w:tcW w:w="576" w:type="pct"/>
            <w:vMerge w:val="restart"/>
            <w:tcBorders>
              <w:top w:val="single" w:color="auto" w:sz="4" w:space="0"/>
              <w:left w:val="single" w:color="auto" w:sz="4" w:space="0"/>
              <w:bottom w:val="single" w:color="auto" w:sz="4" w:space="0"/>
              <w:right w:val="single" w:color="auto" w:sz="4" w:space="0"/>
            </w:tcBorders>
            <w:vAlign w:val="center"/>
          </w:tcPr>
          <w:p w14:paraId="3BAA9554">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重新</w:t>
            </w:r>
            <w:r>
              <w:rPr>
                <w:rFonts w:hint="eastAsia" w:ascii="Times New Roman" w:hAnsi="Times New Roman" w:eastAsia="宋体" w:cs="Times New Roman"/>
                <w:i w:val="0"/>
                <w:color w:val="auto"/>
                <w:sz w:val="18"/>
                <w:szCs w:val="18"/>
              </w:rPr>
              <w:t>划分组别</w:t>
            </w:r>
          </w:p>
        </w:tc>
        <w:tc>
          <w:tcPr>
            <w:tcW w:w="729" w:type="pct"/>
            <w:vMerge w:val="restart"/>
            <w:tcBorders>
              <w:top w:val="single" w:color="auto" w:sz="4" w:space="0"/>
              <w:left w:val="single" w:color="auto" w:sz="4" w:space="0"/>
              <w:bottom w:val="single" w:color="auto" w:sz="4" w:space="0"/>
              <w:right w:val="single" w:color="auto" w:sz="4" w:space="0"/>
            </w:tcBorders>
            <w:vAlign w:val="center"/>
          </w:tcPr>
          <w:p w14:paraId="7E2013BF">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hint="eastAsia" w:ascii="宋体" w:hAnsi="宋体" w:eastAsia="宋体" w:cs="宋体"/>
                <w:i w:val="0"/>
                <w:iCs/>
                <w:color w:val="auto"/>
                <w:sz w:val="18"/>
                <w:szCs w:val="18"/>
              </w:rPr>
              <w:t>控制单边省份-时间变化趋势</w:t>
            </w:r>
          </w:p>
        </w:tc>
        <w:tc>
          <w:tcPr>
            <w:tcW w:w="1084" w:type="pct"/>
            <w:gridSpan w:val="2"/>
            <w:tcBorders>
              <w:top w:val="single" w:color="auto" w:sz="4" w:space="0"/>
              <w:left w:val="single" w:color="auto" w:sz="4" w:space="0"/>
              <w:bottom w:val="single" w:color="auto" w:sz="4" w:space="0"/>
              <w:right w:val="single" w:color="auto" w:sz="4" w:space="0"/>
            </w:tcBorders>
            <w:vAlign w:val="center"/>
          </w:tcPr>
          <w:p w14:paraId="1B07895A">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排除基础设施与数字经济因素的混淆</w:t>
            </w:r>
          </w:p>
        </w:tc>
        <w:tc>
          <w:tcPr>
            <w:tcW w:w="690" w:type="pct"/>
            <w:vMerge w:val="restart"/>
            <w:tcBorders>
              <w:top w:val="single" w:color="auto" w:sz="4" w:space="0"/>
              <w:left w:val="single" w:color="auto" w:sz="4" w:space="0"/>
              <w:bottom w:val="single" w:color="auto" w:sz="4" w:space="0"/>
              <w:right w:val="single" w:color="auto" w:sz="4" w:space="0"/>
            </w:tcBorders>
            <w:vAlign w:val="center"/>
          </w:tcPr>
          <w:p w14:paraId="2FED388A">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排除自贸试验区政策影响</w:t>
            </w:r>
          </w:p>
        </w:tc>
        <w:tc>
          <w:tcPr>
            <w:tcW w:w="653" w:type="pct"/>
            <w:vMerge w:val="restart"/>
            <w:tcBorders>
              <w:top w:val="single" w:color="auto" w:sz="4" w:space="0"/>
              <w:left w:val="single" w:color="auto" w:sz="4" w:space="0"/>
              <w:bottom w:val="single" w:color="auto" w:sz="4" w:space="0"/>
              <w:right w:val="nil"/>
            </w:tcBorders>
            <w:vAlign w:val="center"/>
          </w:tcPr>
          <w:p w14:paraId="410800EB">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剔除直辖市与西藏地区</w:t>
            </w:r>
          </w:p>
        </w:tc>
      </w:tr>
      <w:tr w14:paraId="146E9D35">
        <w:tblPrEx>
          <w:tblCellMar>
            <w:top w:w="0" w:type="dxa"/>
            <w:left w:w="108" w:type="dxa"/>
            <w:bottom w:w="0" w:type="dxa"/>
            <w:right w:w="108" w:type="dxa"/>
          </w:tblCellMar>
        </w:tblPrEx>
        <w:tc>
          <w:tcPr>
            <w:tcW w:w="690" w:type="pct"/>
            <w:vMerge w:val="continue"/>
            <w:tcBorders>
              <w:top w:val="single" w:color="auto" w:sz="4" w:space="0"/>
              <w:left w:val="nil"/>
              <w:bottom w:val="single" w:color="auto" w:sz="4" w:space="0"/>
              <w:right w:val="single" w:color="auto" w:sz="4" w:space="0"/>
            </w:tcBorders>
            <w:vAlign w:val="center"/>
          </w:tcPr>
          <w:p w14:paraId="3E3D740B">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74" w:type="pct"/>
            <w:vMerge w:val="continue"/>
            <w:tcBorders>
              <w:left w:val="single" w:color="auto" w:sz="4" w:space="0"/>
              <w:bottom w:val="single" w:color="auto" w:sz="4" w:space="0"/>
              <w:right w:val="single" w:color="auto" w:sz="4" w:space="0"/>
            </w:tcBorders>
            <w:vAlign w:val="center"/>
          </w:tcPr>
          <w:p w14:paraId="52F25309">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76" w:type="pct"/>
            <w:vMerge w:val="continue"/>
            <w:tcBorders>
              <w:top w:val="single" w:color="auto" w:sz="4" w:space="0"/>
              <w:left w:val="single" w:color="auto" w:sz="4" w:space="0"/>
              <w:bottom w:val="single" w:color="auto" w:sz="4" w:space="0"/>
              <w:right w:val="single" w:color="auto" w:sz="4" w:space="0"/>
            </w:tcBorders>
            <w:vAlign w:val="center"/>
          </w:tcPr>
          <w:p w14:paraId="128A70AB">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729" w:type="pct"/>
            <w:vMerge w:val="continue"/>
            <w:tcBorders>
              <w:top w:val="single" w:color="auto" w:sz="4" w:space="0"/>
              <w:left w:val="single" w:color="auto" w:sz="4" w:space="0"/>
              <w:bottom w:val="single" w:color="auto" w:sz="4" w:space="0"/>
              <w:right w:val="single" w:color="auto" w:sz="4" w:space="0"/>
            </w:tcBorders>
            <w:vAlign w:val="center"/>
          </w:tcPr>
          <w:p w14:paraId="197D180B">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19" w:type="pct"/>
            <w:tcBorders>
              <w:top w:val="single" w:color="auto" w:sz="4" w:space="0"/>
              <w:left w:val="single" w:color="auto" w:sz="4" w:space="0"/>
              <w:bottom w:val="single" w:color="auto" w:sz="4" w:space="0"/>
              <w:right w:val="single" w:color="auto" w:sz="4" w:space="0"/>
            </w:tcBorders>
            <w:vAlign w:val="center"/>
          </w:tcPr>
          <w:p w14:paraId="12A9BFCB">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第一步</w:t>
            </w:r>
          </w:p>
        </w:tc>
        <w:tc>
          <w:tcPr>
            <w:tcW w:w="565" w:type="pct"/>
            <w:tcBorders>
              <w:top w:val="single" w:color="auto" w:sz="4" w:space="0"/>
              <w:left w:val="single" w:color="auto" w:sz="4" w:space="0"/>
              <w:bottom w:val="single" w:color="auto" w:sz="4" w:space="0"/>
              <w:right w:val="single" w:color="auto" w:sz="4" w:space="0"/>
            </w:tcBorders>
            <w:vAlign w:val="center"/>
          </w:tcPr>
          <w:p w14:paraId="21399A1D">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第二步</w:t>
            </w:r>
          </w:p>
        </w:tc>
        <w:tc>
          <w:tcPr>
            <w:tcW w:w="690" w:type="pct"/>
            <w:vMerge w:val="continue"/>
            <w:tcBorders>
              <w:top w:val="single" w:color="auto" w:sz="4" w:space="0"/>
              <w:left w:val="single" w:color="auto" w:sz="4" w:space="0"/>
              <w:bottom w:val="single" w:color="auto" w:sz="4" w:space="0"/>
              <w:right w:val="single" w:color="auto" w:sz="4" w:space="0"/>
            </w:tcBorders>
            <w:vAlign w:val="center"/>
          </w:tcPr>
          <w:p w14:paraId="69D1031B">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653" w:type="pct"/>
            <w:vMerge w:val="continue"/>
            <w:tcBorders>
              <w:top w:val="single" w:color="auto" w:sz="4" w:space="0"/>
              <w:left w:val="single" w:color="auto" w:sz="4" w:space="0"/>
              <w:bottom w:val="single" w:color="auto" w:sz="4" w:space="0"/>
              <w:right w:val="nil"/>
            </w:tcBorders>
            <w:vAlign w:val="center"/>
          </w:tcPr>
          <w:p w14:paraId="1F0EA82B">
            <w:pPr>
              <w:widowControl w:val="0"/>
              <w:snapToGrid w:val="0"/>
              <w:spacing w:line="288" w:lineRule="auto"/>
              <w:jc w:val="center"/>
              <w:textAlignment w:val="auto"/>
              <w:rPr>
                <w:rFonts w:ascii="Times New Roman" w:hAnsi="Times New Roman" w:eastAsia="宋体" w:cs="Times New Roman"/>
                <w:i w:val="0"/>
                <w:color w:val="auto"/>
                <w:sz w:val="18"/>
                <w:szCs w:val="18"/>
              </w:rPr>
            </w:pPr>
          </w:p>
        </w:tc>
      </w:tr>
      <w:tr w14:paraId="4D946F06">
        <w:tblPrEx>
          <w:tblCellMar>
            <w:top w:w="0" w:type="dxa"/>
            <w:left w:w="108" w:type="dxa"/>
            <w:bottom w:w="0" w:type="dxa"/>
            <w:right w:w="108" w:type="dxa"/>
          </w:tblCellMar>
        </w:tblPrEx>
        <w:trPr>
          <w:trHeight w:val="279" w:hRule="atLeast"/>
        </w:trPr>
        <w:tc>
          <w:tcPr>
            <w:tcW w:w="690" w:type="pct"/>
            <w:tcBorders>
              <w:top w:val="single" w:color="auto" w:sz="4" w:space="0"/>
              <w:left w:val="nil"/>
              <w:bottom w:val="nil"/>
              <w:right w:val="single" w:color="auto" w:sz="4" w:space="0"/>
            </w:tcBorders>
            <w:vAlign w:val="center"/>
          </w:tcPr>
          <w:p w14:paraId="472FE390">
            <w:pPr>
              <w:widowControl w:val="0"/>
              <w:snapToGrid w:val="0"/>
              <w:spacing w:line="288" w:lineRule="auto"/>
              <w:jc w:val="center"/>
              <w:textAlignment w:val="auto"/>
              <w:rPr>
                <w:rFonts w:ascii="Times New Roman" w:hAnsi="Times New Roman" w:eastAsia="宋体" w:cs="Times New Roman"/>
                <w:i w:val="0"/>
                <w:color w:val="auto"/>
                <w:sz w:val="18"/>
                <w:szCs w:val="18"/>
              </w:rPr>
            </w:pPr>
            <m:oMathPara>
              <m:oMath>
                <m:sSub>
                  <m:sSubPr>
                    <m:ctrlPr>
                      <w:rPr>
                        <w:rFonts w:eastAsia="宋体"/>
                        <w:i w:val="0"/>
                        <w:color w:val="auto"/>
                      </w:rPr>
                    </m:ctrlPr>
                  </m:sSubPr>
                  <m:e>
                    <m:r>
                      <m:rPr/>
                      <w:rPr>
                        <w:rFonts w:eastAsia="宋体"/>
                        <w:color w:val="auto"/>
                      </w:rPr>
                      <m:t>NegList</m:t>
                    </m:r>
                    <m:ctrlPr>
                      <w:rPr>
                        <w:rFonts w:eastAsia="宋体"/>
                        <w:i w:val="0"/>
                        <w:color w:val="auto"/>
                      </w:rPr>
                    </m:ctrlPr>
                  </m:e>
                  <m:sub>
                    <m:r>
                      <m:rPr/>
                      <w:rPr>
                        <w:rFonts w:eastAsia="宋体"/>
                        <w:color w:val="auto"/>
                      </w:rPr>
                      <m:t>ijt</m:t>
                    </m:r>
                    <m:ctrlPr>
                      <w:rPr>
                        <w:rFonts w:eastAsia="宋体"/>
                        <w:i w:val="0"/>
                        <w:color w:val="auto"/>
                      </w:rPr>
                    </m:ctrlPr>
                  </m:sub>
                </m:sSub>
              </m:oMath>
            </m:oMathPara>
          </w:p>
        </w:tc>
        <w:tc>
          <w:tcPr>
            <w:tcW w:w="574" w:type="pct"/>
            <w:tcBorders>
              <w:top w:val="single" w:color="auto" w:sz="4" w:space="0"/>
              <w:left w:val="single" w:color="auto" w:sz="4" w:space="0"/>
              <w:bottom w:val="nil"/>
              <w:right w:val="single" w:color="auto" w:sz="4" w:space="0"/>
            </w:tcBorders>
            <w:vAlign w:val="center"/>
          </w:tcPr>
          <w:p w14:paraId="1C20EDA0">
            <w:pPr>
              <w:widowControl/>
              <w:snapToGrid w:val="0"/>
              <w:spacing w:beforeLines="0" w:afterLines="0" w:line="300" w:lineRule="auto"/>
              <w:jc w:val="center"/>
              <w:textAlignment w:val="bottom"/>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0.216</w:t>
            </w:r>
            <w:r>
              <w:rPr>
                <w:rFonts w:hint="default" w:ascii="Times New Roman" w:hAnsi="Times New Roman" w:eastAsia="宋体" w:cs="Times New Roman"/>
                <w:i w:val="0"/>
                <w:iCs/>
                <w:color w:val="auto"/>
                <w:sz w:val="18"/>
                <w:szCs w:val="18"/>
                <w:vertAlign w:val="superscript"/>
              </w:rPr>
              <w:t>**</w:t>
            </w:r>
          </w:p>
        </w:tc>
        <w:tc>
          <w:tcPr>
            <w:tcW w:w="576" w:type="pct"/>
            <w:tcBorders>
              <w:top w:val="single" w:color="auto" w:sz="4" w:space="0"/>
              <w:left w:val="single" w:color="auto" w:sz="4" w:space="0"/>
              <w:bottom w:val="nil"/>
              <w:right w:val="single" w:color="auto" w:sz="4" w:space="0"/>
            </w:tcBorders>
            <w:vAlign w:val="center"/>
          </w:tcPr>
          <w:p w14:paraId="35CDBD70">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0.216</w:t>
            </w:r>
            <w:r>
              <w:rPr>
                <w:rFonts w:hint="default" w:ascii="Times New Roman" w:hAnsi="Times New Roman" w:eastAsia="宋体" w:cs="Times New Roman"/>
                <w:i w:val="0"/>
                <w:iCs/>
                <w:color w:val="auto"/>
                <w:sz w:val="18"/>
                <w:szCs w:val="18"/>
                <w:vertAlign w:val="superscript"/>
              </w:rPr>
              <w:t>***</w:t>
            </w:r>
          </w:p>
        </w:tc>
        <w:tc>
          <w:tcPr>
            <w:tcW w:w="729" w:type="pct"/>
            <w:tcBorders>
              <w:top w:val="single" w:color="auto" w:sz="4" w:space="0"/>
              <w:left w:val="single" w:color="auto" w:sz="4" w:space="0"/>
              <w:bottom w:val="nil"/>
              <w:right w:val="single" w:color="auto" w:sz="4" w:space="0"/>
            </w:tcBorders>
            <w:vAlign w:val="center"/>
          </w:tcPr>
          <w:p w14:paraId="6F07FBFC">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0.172</w:t>
            </w:r>
            <w:r>
              <w:rPr>
                <w:rFonts w:hint="default" w:ascii="Times New Roman" w:hAnsi="Times New Roman" w:eastAsia="宋体" w:cs="Times New Roman"/>
                <w:i w:val="0"/>
                <w:iCs/>
                <w:color w:val="auto"/>
                <w:sz w:val="18"/>
                <w:szCs w:val="18"/>
                <w:vertAlign w:val="superscript"/>
              </w:rPr>
              <w:t>***</w:t>
            </w:r>
          </w:p>
        </w:tc>
        <w:tc>
          <w:tcPr>
            <w:tcW w:w="519" w:type="pct"/>
            <w:tcBorders>
              <w:top w:val="single" w:color="auto" w:sz="4" w:space="0"/>
              <w:left w:val="single" w:color="auto" w:sz="4" w:space="0"/>
              <w:bottom w:val="nil"/>
              <w:right w:val="single" w:color="auto" w:sz="4" w:space="0"/>
            </w:tcBorders>
            <w:vAlign w:val="center"/>
          </w:tcPr>
          <w:p w14:paraId="172C1FC0">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65" w:type="pct"/>
            <w:tcBorders>
              <w:top w:val="single" w:color="auto" w:sz="4" w:space="0"/>
              <w:left w:val="single" w:color="auto" w:sz="4" w:space="0"/>
              <w:bottom w:val="nil"/>
              <w:right w:val="single" w:color="auto" w:sz="4" w:space="0"/>
            </w:tcBorders>
            <w:vAlign w:val="center"/>
          </w:tcPr>
          <w:p w14:paraId="76571118">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0.166</w:t>
            </w:r>
            <w:r>
              <w:rPr>
                <w:rFonts w:hint="default" w:ascii="Times New Roman" w:hAnsi="Times New Roman" w:eastAsia="宋体" w:cs="Times New Roman"/>
                <w:i w:val="0"/>
                <w:iCs/>
                <w:color w:val="auto"/>
                <w:sz w:val="18"/>
                <w:szCs w:val="18"/>
                <w:vertAlign w:val="superscript"/>
              </w:rPr>
              <w:t>***</w:t>
            </w:r>
          </w:p>
        </w:tc>
        <w:tc>
          <w:tcPr>
            <w:tcW w:w="690" w:type="pct"/>
            <w:tcBorders>
              <w:top w:val="single" w:color="auto" w:sz="4" w:space="0"/>
              <w:left w:val="single" w:color="auto" w:sz="4" w:space="0"/>
              <w:bottom w:val="nil"/>
              <w:right w:val="single" w:color="auto" w:sz="4" w:space="0"/>
            </w:tcBorders>
            <w:vAlign w:val="center"/>
          </w:tcPr>
          <w:p w14:paraId="017976A4">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0.120</w:t>
            </w:r>
            <w:r>
              <w:rPr>
                <w:rFonts w:hint="default" w:ascii="Times New Roman" w:hAnsi="Times New Roman" w:eastAsia="宋体" w:cs="Times New Roman"/>
                <w:i w:val="0"/>
                <w:iCs/>
                <w:color w:val="auto"/>
                <w:sz w:val="18"/>
                <w:szCs w:val="18"/>
                <w:vertAlign w:val="superscript"/>
              </w:rPr>
              <w:t>**</w:t>
            </w:r>
          </w:p>
        </w:tc>
        <w:tc>
          <w:tcPr>
            <w:tcW w:w="653" w:type="pct"/>
            <w:tcBorders>
              <w:top w:val="single" w:color="auto" w:sz="4" w:space="0"/>
              <w:left w:val="single" w:color="auto" w:sz="4" w:space="0"/>
              <w:bottom w:val="nil"/>
              <w:right w:val="nil"/>
            </w:tcBorders>
            <w:vAlign w:val="top"/>
          </w:tcPr>
          <w:p w14:paraId="4082F5A0">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sz w:val="18"/>
                <w:szCs w:val="18"/>
              </w:rPr>
              <w:t>0.150</w:t>
            </w:r>
            <w:r>
              <w:rPr>
                <w:rFonts w:hint="default" w:ascii="Times New Roman" w:hAnsi="Times New Roman" w:eastAsia="宋体" w:cs="Times New Roman"/>
                <w:i w:val="0"/>
                <w:iCs/>
                <w:sz w:val="18"/>
                <w:szCs w:val="18"/>
                <w:vertAlign w:val="superscript"/>
              </w:rPr>
              <w:t>**</w:t>
            </w:r>
          </w:p>
        </w:tc>
      </w:tr>
      <w:tr w14:paraId="174D34C4">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7F566B12">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74" w:type="pct"/>
            <w:tcBorders>
              <w:top w:val="nil"/>
              <w:left w:val="single" w:color="auto" w:sz="4" w:space="0"/>
              <w:bottom w:val="nil"/>
              <w:right w:val="single" w:color="auto" w:sz="4" w:space="0"/>
            </w:tcBorders>
            <w:vAlign w:val="center"/>
          </w:tcPr>
          <w:p w14:paraId="4D523120">
            <w:pPr>
              <w:widowControl/>
              <w:snapToGrid w:val="0"/>
              <w:spacing w:beforeLines="0" w:afterLines="0" w:line="300" w:lineRule="auto"/>
              <w:jc w:val="center"/>
              <w:textAlignment w:val="bottom"/>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(2.17)</w:t>
            </w:r>
          </w:p>
        </w:tc>
        <w:tc>
          <w:tcPr>
            <w:tcW w:w="576" w:type="pct"/>
            <w:tcBorders>
              <w:top w:val="nil"/>
              <w:left w:val="single" w:color="auto" w:sz="4" w:space="0"/>
              <w:bottom w:val="nil"/>
              <w:right w:val="single" w:color="auto" w:sz="4" w:space="0"/>
            </w:tcBorders>
            <w:vAlign w:val="center"/>
          </w:tcPr>
          <w:p w14:paraId="10F4B766">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(3.32)</w:t>
            </w:r>
          </w:p>
        </w:tc>
        <w:tc>
          <w:tcPr>
            <w:tcW w:w="729" w:type="pct"/>
            <w:tcBorders>
              <w:top w:val="nil"/>
              <w:left w:val="single" w:color="auto" w:sz="4" w:space="0"/>
              <w:bottom w:val="nil"/>
              <w:right w:val="single" w:color="auto" w:sz="4" w:space="0"/>
            </w:tcBorders>
            <w:vAlign w:val="center"/>
          </w:tcPr>
          <w:p w14:paraId="6CCD1D1B">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(4.16)</w:t>
            </w:r>
          </w:p>
        </w:tc>
        <w:tc>
          <w:tcPr>
            <w:tcW w:w="519" w:type="pct"/>
            <w:tcBorders>
              <w:top w:val="nil"/>
              <w:left w:val="single" w:color="auto" w:sz="4" w:space="0"/>
              <w:bottom w:val="nil"/>
              <w:right w:val="single" w:color="auto" w:sz="4" w:space="0"/>
            </w:tcBorders>
            <w:vAlign w:val="center"/>
          </w:tcPr>
          <w:p w14:paraId="52E92D89">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65" w:type="pct"/>
            <w:tcBorders>
              <w:top w:val="nil"/>
              <w:left w:val="single" w:color="auto" w:sz="4" w:space="0"/>
              <w:bottom w:val="nil"/>
              <w:right w:val="single" w:color="auto" w:sz="4" w:space="0"/>
            </w:tcBorders>
            <w:vAlign w:val="center"/>
          </w:tcPr>
          <w:p w14:paraId="34A992FA">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(3.66)</w:t>
            </w:r>
          </w:p>
        </w:tc>
        <w:tc>
          <w:tcPr>
            <w:tcW w:w="690" w:type="pct"/>
            <w:tcBorders>
              <w:top w:val="nil"/>
              <w:left w:val="single" w:color="auto" w:sz="4" w:space="0"/>
              <w:bottom w:val="nil"/>
              <w:right w:val="single" w:color="auto" w:sz="4" w:space="0"/>
            </w:tcBorders>
            <w:vAlign w:val="center"/>
          </w:tcPr>
          <w:p w14:paraId="0F0E407E">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(2.15)</w:t>
            </w:r>
          </w:p>
        </w:tc>
        <w:tc>
          <w:tcPr>
            <w:tcW w:w="653" w:type="pct"/>
            <w:tcBorders>
              <w:top w:val="nil"/>
              <w:left w:val="single" w:color="auto" w:sz="4" w:space="0"/>
              <w:bottom w:val="nil"/>
              <w:right w:val="nil"/>
            </w:tcBorders>
            <w:vAlign w:val="top"/>
          </w:tcPr>
          <w:p w14:paraId="61F66F31">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sz w:val="18"/>
                <w:szCs w:val="18"/>
              </w:rPr>
              <w:t>(2.56)</w:t>
            </w:r>
          </w:p>
        </w:tc>
      </w:tr>
      <w:tr w14:paraId="51819BBD">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42EC09DF">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Infrastructure</w:t>
            </w:r>
          </w:p>
        </w:tc>
        <w:tc>
          <w:tcPr>
            <w:tcW w:w="574" w:type="pct"/>
            <w:tcBorders>
              <w:top w:val="nil"/>
              <w:left w:val="single" w:color="auto" w:sz="4" w:space="0"/>
              <w:bottom w:val="nil"/>
              <w:right w:val="single" w:color="auto" w:sz="4" w:space="0"/>
            </w:tcBorders>
            <w:vAlign w:val="center"/>
          </w:tcPr>
          <w:p w14:paraId="52325E56">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76" w:type="pct"/>
            <w:tcBorders>
              <w:top w:val="nil"/>
              <w:left w:val="single" w:color="auto" w:sz="4" w:space="0"/>
              <w:bottom w:val="nil"/>
              <w:right w:val="single" w:color="auto" w:sz="4" w:space="0"/>
            </w:tcBorders>
            <w:vAlign w:val="center"/>
          </w:tcPr>
          <w:p w14:paraId="77733E2B">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729" w:type="pct"/>
            <w:tcBorders>
              <w:top w:val="nil"/>
              <w:left w:val="single" w:color="auto" w:sz="4" w:space="0"/>
              <w:bottom w:val="nil"/>
              <w:right w:val="single" w:color="auto" w:sz="4" w:space="0"/>
            </w:tcBorders>
            <w:vAlign w:val="center"/>
          </w:tcPr>
          <w:p w14:paraId="617E1E91">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19" w:type="pct"/>
            <w:tcBorders>
              <w:top w:val="nil"/>
              <w:left w:val="single" w:color="auto" w:sz="4" w:space="0"/>
              <w:bottom w:val="nil"/>
              <w:right w:val="single" w:color="auto" w:sz="4" w:space="0"/>
            </w:tcBorders>
            <w:vAlign w:val="center"/>
          </w:tcPr>
          <w:p w14:paraId="15DC3A68">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0.114</w:t>
            </w:r>
            <w:r>
              <w:rPr>
                <w:rFonts w:hint="default" w:ascii="Times New Roman" w:hAnsi="Times New Roman" w:eastAsia="宋体" w:cs="Times New Roman"/>
                <w:i w:val="0"/>
                <w:iCs/>
                <w:color w:val="auto"/>
                <w:sz w:val="18"/>
                <w:szCs w:val="18"/>
                <w:vertAlign w:val="superscript"/>
              </w:rPr>
              <w:t>**</w:t>
            </w:r>
          </w:p>
        </w:tc>
        <w:tc>
          <w:tcPr>
            <w:tcW w:w="565" w:type="pct"/>
            <w:tcBorders>
              <w:top w:val="nil"/>
              <w:left w:val="single" w:color="auto" w:sz="4" w:space="0"/>
              <w:bottom w:val="nil"/>
              <w:right w:val="single" w:color="auto" w:sz="4" w:space="0"/>
            </w:tcBorders>
            <w:vAlign w:val="center"/>
          </w:tcPr>
          <w:p w14:paraId="7D32A99B">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90" w:type="pct"/>
            <w:tcBorders>
              <w:top w:val="nil"/>
              <w:left w:val="single" w:color="auto" w:sz="4" w:space="0"/>
              <w:bottom w:val="nil"/>
              <w:right w:val="single" w:color="auto" w:sz="4" w:space="0"/>
            </w:tcBorders>
            <w:vAlign w:val="center"/>
          </w:tcPr>
          <w:p w14:paraId="151C184C">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53" w:type="pct"/>
            <w:tcBorders>
              <w:top w:val="nil"/>
              <w:left w:val="single" w:color="auto" w:sz="4" w:space="0"/>
              <w:bottom w:val="nil"/>
              <w:right w:val="nil"/>
            </w:tcBorders>
            <w:vAlign w:val="center"/>
          </w:tcPr>
          <w:p w14:paraId="1D4026FA">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r>
      <w:tr w14:paraId="0E3D6658">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59CC3CAD">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74" w:type="pct"/>
            <w:tcBorders>
              <w:top w:val="nil"/>
              <w:left w:val="single" w:color="auto" w:sz="4" w:space="0"/>
              <w:bottom w:val="nil"/>
              <w:right w:val="single" w:color="auto" w:sz="4" w:space="0"/>
            </w:tcBorders>
            <w:vAlign w:val="center"/>
          </w:tcPr>
          <w:p w14:paraId="518A7A3F">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76" w:type="pct"/>
            <w:tcBorders>
              <w:top w:val="nil"/>
              <w:left w:val="single" w:color="auto" w:sz="4" w:space="0"/>
              <w:bottom w:val="nil"/>
              <w:right w:val="single" w:color="auto" w:sz="4" w:space="0"/>
            </w:tcBorders>
            <w:vAlign w:val="center"/>
          </w:tcPr>
          <w:p w14:paraId="6213E03B">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729" w:type="pct"/>
            <w:tcBorders>
              <w:top w:val="nil"/>
              <w:left w:val="single" w:color="auto" w:sz="4" w:space="0"/>
              <w:bottom w:val="nil"/>
              <w:right w:val="single" w:color="auto" w:sz="4" w:space="0"/>
            </w:tcBorders>
            <w:vAlign w:val="center"/>
          </w:tcPr>
          <w:p w14:paraId="55F265C1">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19" w:type="pct"/>
            <w:tcBorders>
              <w:top w:val="nil"/>
              <w:left w:val="single" w:color="auto" w:sz="4" w:space="0"/>
              <w:bottom w:val="nil"/>
              <w:right w:val="single" w:color="auto" w:sz="4" w:space="0"/>
            </w:tcBorders>
            <w:vAlign w:val="center"/>
          </w:tcPr>
          <w:p w14:paraId="641E9DC1">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(2.34)</w:t>
            </w:r>
          </w:p>
        </w:tc>
        <w:tc>
          <w:tcPr>
            <w:tcW w:w="565" w:type="pct"/>
            <w:tcBorders>
              <w:top w:val="nil"/>
              <w:left w:val="single" w:color="auto" w:sz="4" w:space="0"/>
              <w:bottom w:val="nil"/>
              <w:right w:val="single" w:color="auto" w:sz="4" w:space="0"/>
            </w:tcBorders>
            <w:vAlign w:val="center"/>
          </w:tcPr>
          <w:p w14:paraId="6B1129E6">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90" w:type="pct"/>
            <w:tcBorders>
              <w:top w:val="nil"/>
              <w:left w:val="single" w:color="auto" w:sz="4" w:space="0"/>
              <w:bottom w:val="nil"/>
              <w:right w:val="single" w:color="auto" w:sz="4" w:space="0"/>
            </w:tcBorders>
            <w:vAlign w:val="center"/>
          </w:tcPr>
          <w:p w14:paraId="56DB06D0">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53" w:type="pct"/>
            <w:tcBorders>
              <w:top w:val="nil"/>
              <w:left w:val="single" w:color="auto" w:sz="4" w:space="0"/>
              <w:bottom w:val="nil"/>
              <w:right w:val="nil"/>
            </w:tcBorders>
            <w:vAlign w:val="center"/>
          </w:tcPr>
          <w:p w14:paraId="4FD2DE8E">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r>
      <w:tr w14:paraId="702F9D1E">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14AC322D">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Digital</w:t>
            </w:r>
          </w:p>
        </w:tc>
        <w:tc>
          <w:tcPr>
            <w:tcW w:w="574" w:type="pct"/>
            <w:tcBorders>
              <w:top w:val="nil"/>
              <w:left w:val="single" w:color="auto" w:sz="4" w:space="0"/>
              <w:bottom w:val="nil"/>
              <w:right w:val="single" w:color="auto" w:sz="4" w:space="0"/>
            </w:tcBorders>
            <w:vAlign w:val="center"/>
          </w:tcPr>
          <w:p w14:paraId="68405A1F">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76" w:type="pct"/>
            <w:tcBorders>
              <w:top w:val="nil"/>
              <w:left w:val="single" w:color="auto" w:sz="4" w:space="0"/>
              <w:bottom w:val="nil"/>
              <w:right w:val="single" w:color="auto" w:sz="4" w:space="0"/>
            </w:tcBorders>
            <w:vAlign w:val="center"/>
          </w:tcPr>
          <w:p w14:paraId="3ECC6090">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729" w:type="pct"/>
            <w:tcBorders>
              <w:top w:val="nil"/>
              <w:left w:val="single" w:color="auto" w:sz="4" w:space="0"/>
              <w:bottom w:val="nil"/>
              <w:right w:val="single" w:color="auto" w:sz="4" w:space="0"/>
            </w:tcBorders>
            <w:vAlign w:val="center"/>
          </w:tcPr>
          <w:p w14:paraId="10231A82">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19" w:type="pct"/>
            <w:tcBorders>
              <w:top w:val="nil"/>
              <w:left w:val="single" w:color="auto" w:sz="4" w:space="0"/>
              <w:bottom w:val="nil"/>
              <w:right w:val="single" w:color="auto" w:sz="4" w:space="0"/>
            </w:tcBorders>
            <w:vAlign w:val="center"/>
          </w:tcPr>
          <w:p w14:paraId="70EA5D99">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-0.056</w:t>
            </w:r>
          </w:p>
        </w:tc>
        <w:tc>
          <w:tcPr>
            <w:tcW w:w="565" w:type="pct"/>
            <w:tcBorders>
              <w:top w:val="nil"/>
              <w:left w:val="single" w:color="auto" w:sz="4" w:space="0"/>
              <w:bottom w:val="nil"/>
              <w:right w:val="single" w:color="auto" w:sz="4" w:space="0"/>
            </w:tcBorders>
            <w:vAlign w:val="center"/>
          </w:tcPr>
          <w:p w14:paraId="5F09C123">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90" w:type="pct"/>
            <w:tcBorders>
              <w:top w:val="nil"/>
              <w:left w:val="single" w:color="auto" w:sz="4" w:space="0"/>
              <w:bottom w:val="nil"/>
              <w:right w:val="single" w:color="auto" w:sz="4" w:space="0"/>
            </w:tcBorders>
            <w:vAlign w:val="center"/>
          </w:tcPr>
          <w:p w14:paraId="23C26F42">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53" w:type="pct"/>
            <w:tcBorders>
              <w:top w:val="nil"/>
              <w:left w:val="single" w:color="auto" w:sz="4" w:space="0"/>
              <w:bottom w:val="nil"/>
              <w:right w:val="nil"/>
            </w:tcBorders>
            <w:vAlign w:val="center"/>
          </w:tcPr>
          <w:p w14:paraId="62215124">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r>
      <w:tr w14:paraId="209E7412">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052010F8">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74" w:type="pct"/>
            <w:tcBorders>
              <w:top w:val="nil"/>
              <w:left w:val="single" w:color="auto" w:sz="4" w:space="0"/>
              <w:bottom w:val="nil"/>
              <w:right w:val="single" w:color="auto" w:sz="4" w:space="0"/>
            </w:tcBorders>
            <w:vAlign w:val="center"/>
          </w:tcPr>
          <w:p w14:paraId="7766A4AA">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76" w:type="pct"/>
            <w:tcBorders>
              <w:top w:val="nil"/>
              <w:left w:val="single" w:color="auto" w:sz="4" w:space="0"/>
              <w:bottom w:val="nil"/>
              <w:right w:val="single" w:color="auto" w:sz="4" w:space="0"/>
            </w:tcBorders>
            <w:vAlign w:val="center"/>
          </w:tcPr>
          <w:p w14:paraId="631E9B60">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729" w:type="pct"/>
            <w:tcBorders>
              <w:top w:val="nil"/>
              <w:left w:val="single" w:color="auto" w:sz="4" w:space="0"/>
              <w:bottom w:val="nil"/>
              <w:right w:val="single" w:color="auto" w:sz="4" w:space="0"/>
            </w:tcBorders>
            <w:vAlign w:val="center"/>
          </w:tcPr>
          <w:p w14:paraId="669B09BE">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519" w:type="pct"/>
            <w:tcBorders>
              <w:top w:val="nil"/>
              <w:left w:val="single" w:color="auto" w:sz="4" w:space="0"/>
              <w:bottom w:val="nil"/>
              <w:right w:val="single" w:color="auto" w:sz="4" w:space="0"/>
            </w:tcBorders>
            <w:vAlign w:val="center"/>
          </w:tcPr>
          <w:p w14:paraId="60A002BE">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(-0.54)</w:t>
            </w:r>
          </w:p>
        </w:tc>
        <w:tc>
          <w:tcPr>
            <w:tcW w:w="565" w:type="pct"/>
            <w:tcBorders>
              <w:top w:val="nil"/>
              <w:left w:val="single" w:color="auto" w:sz="4" w:space="0"/>
              <w:bottom w:val="nil"/>
              <w:right w:val="single" w:color="auto" w:sz="4" w:space="0"/>
            </w:tcBorders>
            <w:vAlign w:val="center"/>
          </w:tcPr>
          <w:p w14:paraId="16D50539">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90" w:type="pct"/>
            <w:tcBorders>
              <w:top w:val="nil"/>
              <w:left w:val="single" w:color="auto" w:sz="4" w:space="0"/>
              <w:bottom w:val="nil"/>
              <w:right w:val="single" w:color="auto" w:sz="4" w:space="0"/>
            </w:tcBorders>
            <w:vAlign w:val="center"/>
          </w:tcPr>
          <w:p w14:paraId="40AFDB31">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53" w:type="pct"/>
            <w:tcBorders>
              <w:top w:val="nil"/>
              <w:left w:val="single" w:color="auto" w:sz="4" w:space="0"/>
              <w:bottom w:val="nil"/>
              <w:right w:val="nil"/>
            </w:tcBorders>
            <w:vAlign w:val="center"/>
          </w:tcPr>
          <w:p w14:paraId="206409B7">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r>
      <w:tr w14:paraId="1024403B">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46E2D6D6">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FTA</w:t>
            </w:r>
          </w:p>
        </w:tc>
        <w:tc>
          <w:tcPr>
            <w:tcW w:w="574" w:type="pct"/>
            <w:tcBorders>
              <w:top w:val="nil"/>
              <w:left w:val="single" w:color="auto" w:sz="4" w:space="0"/>
              <w:bottom w:val="nil"/>
              <w:right w:val="single" w:color="auto" w:sz="4" w:space="0"/>
            </w:tcBorders>
            <w:vAlign w:val="center"/>
          </w:tcPr>
          <w:p w14:paraId="1C78F058">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576" w:type="pct"/>
            <w:tcBorders>
              <w:top w:val="nil"/>
              <w:left w:val="single" w:color="auto" w:sz="4" w:space="0"/>
              <w:bottom w:val="nil"/>
              <w:right w:val="single" w:color="auto" w:sz="4" w:space="0"/>
            </w:tcBorders>
            <w:vAlign w:val="center"/>
          </w:tcPr>
          <w:p w14:paraId="36306FD0">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729" w:type="pct"/>
            <w:tcBorders>
              <w:top w:val="nil"/>
              <w:left w:val="single" w:color="auto" w:sz="4" w:space="0"/>
              <w:bottom w:val="nil"/>
              <w:right w:val="single" w:color="auto" w:sz="4" w:space="0"/>
            </w:tcBorders>
            <w:vAlign w:val="center"/>
          </w:tcPr>
          <w:p w14:paraId="1D88B15D">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519" w:type="pct"/>
            <w:tcBorders>
              <w:top w:val="nil"/>
              <w:left w:val="single" w:color="auto" w:sz="4" w:space="0"/>
              <w:bottom w:val="nil"/>
              <w:right w:val="single" w:color="auto" w:sz="4" w:space="0"/>
            </w:tcBorders>
            <w:vAlign w:val="center"/>
          </w:tcPr>
          <w:p w14:paraId="726A890F">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565" w:type="pct"/>
            <w:tcBorders>
              <w:top w:val="nil"/>
              <w:left w:val="single" w:color="auto" w:sz="4" w:space="0"/>
              <w:bottom w:val="nil"/>
              <w:right w:val="single" w:color="auto" w:sz="4" w:space="0"/>
            </w:tcBorders>
            <w:vAlign w:val="center"/>
          </w:tcPr>
          <w:p w14:paraId="6DB04AD8">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90" w:type="pct"/>
            <w:tcBorders>
              <w:top w:val="nil"/>
              <w:left w:val="single" w:color="auto" w:sz="4" w:space="0"/>
              <w:bottom w:val="nil"/>
              <w:right w:val="single" w:color="auto" w:sz="4" w:space="0"/>
            </w:tcBorders>
            <w:vAlign w:val="center"/>
          </w:tcPr>
          <w:p w14:paraId="19D1FD28">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0.073</w:t>
            </w:r>
          </w:p>
        </w:tc>
        <w:tc>
          <w:tcPr>
            <w:tcW w:w="653" w:type="pct"/>
            <w:tcBorders>
              <w:top w:val="nil"/>
              <w:left w:val="single" w:color="auto" w:sz="4" w:space="0"/>
              <w:bottom w:val="nil"/>
              <w:right w:val="nil"/>
            </w:tcBorders>
            <w:vAlign w:val="center"/>
          </w:tcPr>
          <w:p w14:paraId="05CE46E1">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r>
      <w:tr w14:paraId="04CE172D">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6DC07583">
            <w:pPr>
              <w:widowControl w:val="0"/>
              <w:snapToGrid w:val="0"/>
              <w:spacing w:line="288" w:lineRule="auto"/>
              <w:jc w:val="center"/>
              <w:textAlignment w:val="auto"/>
              <w:rPr>
                <w:rFonts w:ascii="Times New Roman" w:hAnsi="Times New Roman" w:eastAsia="宋体" w:cs="Times New Roman"/>
                <w:i w:val="0"/>
                <w:color w:val="auto"/>
                <w:sz w:val="18"/>
                <w:szCs w:val="18"/>
              </w:rPr>
            </w:pPr>
          </w:p>
        </w:tc>
        <w:tc>
          <w:tcPr>
            <w:tcW w:w="574" w:type="pct"/>
            <w:tcBorders>
              <w:top w:val="nil"/>
              <w:left w:val="single" w:color="auto" w:sz="4" w:space="0"/>
              <w:bottom w:val="nil"/>
              <w:right w:val="single" w:color="auto" w:sz="4" w:space="0"/>
            </w:tcBorders>
            <w:vAlign w:val="center"/>
          </w:tcPr>
          <w:p w14:paraId="5393FE90">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576" w:type="pct"/>
            <w:tcBorders>
              <w:top w:val="nil"/>
              <w:left w:val="single" w:color="auto" w:sz="4" w:space="0"/>
              <w:bottom w:val="nil"/>
              <w:right w:val="single" w:color="auto" w:sz="4" w:space="0"/>
            </w:tcBorders>
            <w:vAlign w:val="center"/>
          </w:tcPr>
          <w:p w14:paraId="6D77A0A8">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729" w:type="pct"/>
            <w:tcBorders>
              <w:top w:val="nil"/>
              <w:left w:val="single" w:color="auto" w:sz="4" w:space="0"/>
              <w:bottom w:val="nil"/>
              <w:right w:val="single" w:color="auto" w:sz="4" w:space="0"/>
            </w:tcBorders>
            <w:vAlign w:val="center"/>
          </w:tcPr>
          <w:p w14:paraId="5AC89FF8">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519" w:type="pct"/>
            <w:tcBorders>
              <w:top w:val="nil"/>
              <w:left w:val="single" w:color="auto" w:sz="4" w:space="0"/>
              <w:bottom w:val="nil"/>
              <w:right w:val="single" w:color="auto" w:sz="4" w:space="0"/>
            </w:tcBorders>
            <w:vAlign w:val="center"/>
          </w:tcPr>
          <w:p w14:paraId="2F66FC17">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c>
          <w:tcPr>
            <w:tcW w:w="565" w:type="pct"/>
            <w:tcBorders>
              <w:top w:val="nil"/>
              <w:left w:val="single" w:color="auto" w:sz="4" w:space="0"/>
              <w:bottom w:val="nil"/>
              <w:right w:val="single" w:color="auto" w:sz="4" w:space="0"/>
            </w:tcBorders>
            <w:vAlign w:val="center"/>
          </w:tcPr>
          <w:p w14:paraId="5F9EBA56">
            <w:pPr>
              <w:widowControl/>
              <w:snapToGrid w:val="0"/>
              <w:spacing w:line="288" w:lineRule="auto"/>
              <w:jc w:val="center"/>
              <w:textAlignment w:val="bottom"/>
              <w:rPr>
                <w:rFonts w:hint="default" w:ascii="Times New Roman" w:hAnsi="Times New Roman" w:eastAsia="宋体" w:cs="Times New Roman"/>
                <w:i w:val="0"/>
                <w:iCs/>
                <w:color w:val="auto"/>
                <w:sz w:val="18"/>
                <w:szCs w:val="18"/>
              </w:rPr>
            </w:pPr>
          </w:p>
        </w:tc>
        <w:tc>
          <w:tcPr>
            <w:tcW w:w="690" w:type="pct"/>
            <w:tcBorders>
              <w:top w:val="nil"/>
              <w:left w:val="single" w:color="auto" w:sz="4" w:space="0"/>
              <w:bottom w:val="nil"/>
              <w:right w:val="single" w:color="auto" w:sz="4" w:space="0"/>
            </w:tcBorders>
            <w:vAlign w:val="center"/>
          </w:tcPr>
          <w:p w14:paraId="28C00B51">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(1.37)</w:t>
            </w:r>
          </w:p>
        </w:tc>
        <w:tc>
          <w:tcPr>
            <w:tcW w:w="653" w:type="pct"/>
            <w:tcBorders>
              <w:top w:val="nil"/>
              <w:left w:val="single" w:color="auto" w:sz="4" w:space="0"/>
              <w:bottom w:val="nil"/>
              <w:right w:val="nil"/>
            </w:tcBorders>
            <w:vAlign w:val="center"/>
          </w:tcPr>
          <w:p w14:paraId="6917F474">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p>
        </w:tc>
      </w:tr>
      <w:tr w14:paraId="4B0CED9D">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4B5F15B0">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控制变量</w:t>
            </w:r>
          </w:p>
        </w:tc>
        <w:tc>
          <w:tcPr>
            <w:tcW w:w="574" w:type="pct"/>
            <w:tcBorders>
              <w:top w:val="nil"/>
              <w:left w:val="single" w:color="auto" w:sz="4" w:space="0"/>
              <w:bottom w:val="nil"/>
              <w:right w:val="single" w:color="auto" w:sz="4" w:space="0"/>
            </w:tcBorders>
            <w:vAlign w:val="center"/>
          </w:tcPr>
          <w:p w14:paraId="002B0FD0">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76" w:type="pct"/>
            <w:tcBorders>
              <w:top w:val="nil"/>
              <w:left w:val="single" w:color="auto" w:sz="4" w:space="0"/>
              <w:bottom w:val="nil"/>
              <w:right w:val="single" w:color="auto" w:sz="4" w:space="0"/>
            </w:tcBorders>
            <w:vAlign w:val="center"/>
          </w:tcPr>
          <w:p w14:paraId="73889498">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729" w:type="pct"/>
            <w:tcBorders>
              <w:top w:val="nil"/>
              <w:left w:val="single" w:color="auto" w:sz="4" w:space="0"/>
              <w:bottom w:val="nil"/>
              <w:right w:val="single" w:color="auto" w:sz="4" w:space="0"/>
            </w:tcBorders>
            <w:vAlign w:val="center"/>
          </w:tcPr>
          <w:p w14:paraId="0FA75040">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19" w:type="pct"/>
            <w:tcBorders>
              <w:top w:val="nil"/>
              <w:left w:val="single" w:color="auto" w:sz="4" w:space="0"/>
              <w:bottom w:val="nil"/>
              <w:right w:val="single" w:color="auto" w:sz="4" w:space="0"/>
            </w:tcBorders>
            <w:vAlign w:val="center"/>
          </w:tcPr>
          <w:p w14:paraId="2B0B6685">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65" w:type="pct"/>
            <w:tcBorders>
              <w:top w:val="nil"/>
              <w:left w:val="single" w:color="auto" w:sz="4" w:space="0"/>
              <w:bottom w:val="nil"/>
              <w:right w:val="single" w:color="auto" w:sz="4" w:space="0"/>
            </w:tcBorders>
            <w:vAlign w:val="center"/>
          </w:tcPr>
          <w:p w14:paraId="4278343A">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690" w:type="pct"/>
            <w:tcBorders>
              <w:top w:val="nil"/>
              <w:left w:val="single" w:color="auto" w:sz="4" w:space="0"/>
              <w:bottom w:val="nil"/>
              <w:right w:val="single" w:color="auto" w:sz="4" w:space="0"/>
            </w:tcBorders>
            <w:vAlign w:val="center"/>
          </w:tcPr>
          <w:p w14:paraId="0C562787">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653" w:type="pct"/>
            <w:tcBorders>
              <w:top w:val="nil"/>
              <w:left w:val="single" w:color="auto" w:sz="4" w:space="0"/>
              <w:bottom w:val="nil"/>
              <w:right w:val="nil"/>
            </w:tcBorders>
            <w:vAlign w:val="center"/>
          </w:tcPr>
          <w:p w14:paraId="6CD03CED">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r>
      <w:tr w14:paraId="7FBEFDAA">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0A633AC7">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省际对固定</w:t>
            </w:r>
          </w:p>
        </w:tc>
        <w:tc>
          <w:tcPr>
            <w:tcW w:w="574" w:type="pct"/>
            <w:tcBorders>
              <w:top w:val="nil"/>
              <w:left w:val="single" w:color="auto" w:sz="4" w:space="0"/>
              <w:bottom w:val="nil"/>
              <w:right w:val="single" w:color="auto" w:sz="4" w:space="0"/>
            </w:tcBorders>
            <w:vAlign w:val="center"/>
          </w:tcPr>
          <w:p w14:paraId="636C218D">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76" w:type="pct"/>
            <w:tcBorders>
              <w:top w:val="nil"/>
              <w:left w:val="single" w:color="auto" w:sz="4" w:space="0"/>
              <w:bottom w:val="nil"/>
              <w:right w:val="single" w:color="auto" w:sz="4" w:space="0"/>
            </w:tcBorders>
            <w:vAlign w:val="center"/>
          </w:tcPr>
          <w:p w14:paraId="606EA564">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729" w:type="pct"/>
            <w:tcBorders>
              <w:top w:val="nil"/>
              <w:left w:val="single" w:color="auto" w:sz="4" w:space="0"/>
              <w:bottom w:val="nil"/>
              <w:right w:val="single" w:color="auto" w:sz="4" w:space="0"/>
            </w:tcBorders>
            <w:vAlign w:val="center"/>
          </w:tcPr>
          <w:p w14:paraId="466C2CDB">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19" w:type="pct"/>
            <w:tcBorders>
              <w:top w:val="nil"/>
              <w:left w:val="single" w:color="auto" w:sz="4" w:space="0"/>
              <w:bottom w:val="nil"/>
              <w:right w:val="single" w:color="auto" w:sz="4" w:space="0"/>
            </w:tcBorders>
            <w:vAlign w:val="center"/>
          </w:tcPr>
          <w:p w14:paraId="041D2904">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65" w:type="pct"/>
            <w:tcBorders>
              <w:top w:val="nil"/>
              <w:left w:val="single" w:color="auto" w:sz="4" w:space="0"/>
              <w:bottom w:val="nil"/>
              <w:right w:val="single" w:color="auto" w:sz="4" w:space="0"/>
            </w:tcBorders>
            <w:vAlign w:val="center"/>
          </w:tcPr>
          <w:p w14:paraId="7FBEE65A">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690" w:type="pct"/>
            <w:tcBorders>
              <w:top w:val="nil"/>
              <w:left w:val="single" w:color="auto" w:sz="4" w:space="0"/>
              <w:bottom w:val="nil"/>
              <w:right w:val="single" w:color="auto" w:sz="4" w:space="0"/>
            </w:tcBorders>
            <w:vAlign w:val="center"/>
          </w:tcPr>
          <w:p w14:paraId="002E0AA6">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653" w:type="pct"/>
            <w:tcBorders>
              <w:top w:val="nil"/>
              <w:left w:val="single" w:color="auto" w:sz="4" w:space="0"/>
              <w:bottom w:val="nil"/>
              <w:right w:val="nil"/>
            </w:tcBorders>
            <w:vAlign w:val="center"/>
          </w:tcPr>
          <w:p w14:paraId="2236F60B">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r>
      <w:tr w14:paraId="63F0EE1E">
        <w:tblPrEx>
          <w:tblCellMar>
            <w:top w:w="0" w:type="dxa"/>
            <w:left w:w="108" w:type="dxa"/>
            <w:bottom w:w="0" w:type="dxa"/>
            <w:right w:w="108" w:type="dxa"/>
          </w:tblCellMar>
        </w:tblPrEx>
        <w:tc>
          <w:tcPr>
            <w:tcW w:w="690" w:type="pct"/>
            <w:tcBorders>
              <w:top w:val="nil"/>
              <w:left w:val="nil"/>
              <w:bottom w:val="single" w:color="auto" w:sz="4" w:space="0"/>
              <w:right w:val="single" w:color="auto" w:sz="4" w:space="0"/>
            </w:tcBorders>
            <w:vAlign w:val="center"/>
          </w:tcPr>
          <w:p w14:paraId="5EACB824">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年份固定</w:t>
            </w:r>
          </w:p>
        </w:tc>
        <w:tc>
          <w:tcPr>
            <w:tcW w:w="574" w:type="pct"/>
            <w:tcBorders>
              <w:top w:val="nil"/>
              <w:left w:val="single" w:color="auto" w:sz="4" w:space="0"/>
              <w:bottom w:val="single" w:color="auto" w:sz="4" w:space="0"/>
              <w:right w:val="single" w:color="auto" w:sz="4" w:space="0"/>
            </w:tcBorders>
            <w:vAlign w:val="center"/>
          </w:tcPr>
          <w:p w14:paraId="5E085DE2">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76" w:type="pct"/>
            <w:tcBorders>
              <w:top w:val="nil"/>
              <w:left w:val="single" w:color="auto" w:sz="4" w:space="0"/>
              <w:bottom w:val="single" w:color="auto" w:sz="4" w:space="0"/>
              <w:right w:val="single" w:color="auto" w:sz="4" w:space="0"/>
            </w:tcBorders>
            <w:vAlign w:val="center"/>
          </w:tcPr>
          <w:p w14:paraId="694C9F75">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729" w:type="pct"/>
            <w:tcBorders>
              <w:top w:val="nil"/>
              <w:left w:val="single" w:color="auto" w:sz="4" w:space="0"/>
              <w:bottom w:val="single" w:color="auto" w:sz="4" w:space="0"/>
              <w:right w:val="single" w:color="auto" w:sz="4" w:space="0"/>
            </w:tcBorders>
            <w:vAlign w:val="center"/>
          </w:tcPr>
          <w:p w14:paraId="78B61DC7">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19" w:type="pct"/>
            <w:tcBorders>
              <w:top w:val="nil"/>
              <w:left w:val="single" w:color="auto" w:sz="4" w:space="0"/>
              <w:bottom w:val="single" w:color="auto" w:sz="4" w:space="0"/>
              <w:right w:val="single" w:color="auto" w:sz="4" w:space="0"/>
            </w:tcBorders>
            <w:vAlign w:val="center"/>
          </w:tcPr>
          <w:p w14:paraId="1F5C7C91">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565" w:type="pct"/>
            <w:tcBorders>
              <w:top w:val="nil"/>
              <w:left w:val="single" w:color="auto" w:sz="4" w:space="0"/>
              <w:bottom w:val="single" w:color="auto" w:sz="4" w:space="0"/>
              <w:right w:val="single" w:color="auto" w:sz="4" w:space="0"/>
            </w:tcBorders>
            <w:vAlign w:val="center"/>
          </w:tcPr>
          <w:p w14:paraId="339B078A">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690" w:type="pct"/>
            <w:tcBorders>
              <w:top w:val="nil"/>
              <w:left w:val="single" w:color="auto" w:sz="4" w:space="0"/>
              <w:bottom w:val="single" w:color="auto" w:sz="4" w:space="0"/>
              <w:right w:val="single" w:color="auto" w:sz="4" w:space="0"/>
            </w:tcBorders>
            <w:vAlign w:val="center"/>
          </w:tcPr>
          <w:p w14:paraId="7E5448B5">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c>
          <w:tcPr>
            <w:tcW w:w="653" w:type="pct"/>
            <w:tcBorders>
              <w:top w:val="nil"/>
              <w:left w:val="single" w:color="auto" w:sz="4" w:space="0"/>
              <w:bottom w:val="single" w:color="auto" w:sz="4" w:space="0"/>
              <w:right w:val="nil"/>
            </w:tcBorders>
            <w:vAlign w:val="center"/>
          </w:tcPr>
          <w:p w14:paraId="151FCB54">
            <w:pPr>
              <w:widowControl w:val="0"/>
              <w:snapToGrid w:val="0"/>
              <w:spacing w:line="288" w:lineRule="auto"/>
              <w:jc w:val="center"/>
              <w:textAlignment w:val="auto"/>
              <w:rPr>
                <w:rFonts w:hint="default" w:ascii="Times New Roman" w:hAnsi="Times New Roman" w:eastAsia="宋体" w:cs="Times New Roman"/>
                <w:i w:val="0"/>
                <w:iCs/>
                <w:color w:val="auto"/>
                <w:sz w:val="18"/>
                <w:szCs w:val="18"/>
              </w:rPr>
            </w:pPr>
            <w:r>
              <w:rPr>
                <w:rFonts w:hint="default" w:ascii="Times New Roman" w:hAnsi="Times New Roman" w:eastAsia="宋体" w:cs="Times New Roman"/>
                <w:i w:val="0"/>
                <w:iCs/>
                <w:color w:val="auto"/>
                <w:sz w:val="18"/>
                <w:szCs w:val="18"/>
              </w:rPr>
              <w:t>Yes</w:t>
            </w:r>
          </w:p>
        </w:tc>
      </w:tr>
      <w:tr w14:paraId="0DBCD395">
        <w:tblPrEx>
          <w:tblCellMar>
            <w:top w:w="0" w:type="dxa"/>
            <w:left w:w="108" w:type="dxa"/>
            <w:bottom w:w="0" w:type="dxa"/>
            <w:right w:w="108" w:type="dxa"/>
          </w:tblCellMar>
        </w:tblPrEx>
        <w:tc>
          <w:tcPr>
            <w:tcW w:w="690" w:type="pct"/>
            <w:tcBorders>
              <w:top w:val="single" w:color="auto" w:sz="4" w:space="0"/>
              <w:left w:val="nil"/>
              <w:bottom w:val="nil"/>
              <w:right w:val="single" w:color="auto" w:sz="4" w:space="0"/>
            </w:tcBorders>
            <w:vAlign w:val="center"/>
          </w:tcPr>
          <w:p w14:paraId="07C769D6">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N</w:t>
            </w:r>
          </w:p>
        </w:tc>
        <w:tc>
          <w:tcPr>
            <w:tcW w:w="574" w:type="pct"/>
            <w:tcBorders>
              <w:top w:val="single" w:color="auto" w:sz="4" w:space="0"/>
              <w:left w:val="single" w:color="auto" w:sz="4" w:space="0"/>
              <w:bottom w:val="nil"/>
              <w:right w:val="single" w:color="auto" w:sz="4" w:space="0"/>
            </w:tcBorders>
            <w:vAlign w:val="center"/>
          </w:tcPr>
          <w:p w14:paraId="066F29E0">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8370</w:t>
            </w:r>
          </w:p>
        </w:tc>
        <w:tc>
          <w:tcPr>
            <w:tcW w:w="576" w:type="pct"/>
            <w:tcBorders>
              <w:top w:val="single" w:color="auto" w:sz="4" w:space="0"/>
              <w:left w:val="single" w:color="auto" w:sz="4" w:space="0"/>
              <w:bottom w:val="nil"/>
              <w:right w:val="single" w:color="auto" w:sz="4" w:space="0"/>
            </w:tcBorders>
            <w:vAlign w:val="center"/>
          </w:tcPr>
          <w:p w14:paraId="2D90F249">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4185</w:t>
            </w:r>
          </w:p>
        </w:tc>
        <w:tc>
          <w:tcPr>
            <w:tcW w:w="729" w:type="pct"/>
            <w:tcBorders>
              <w:top w:val="single" w:color="auto" w:sz="4" w:space="0"/>
              <w:left w:val="single" w:color="auto" w:sz="4" w:space="0"/>
              <w:bottom w:val="nil"/>
              <w:right w:val="single" w:color="auto" w:sz="4" w:space="0"/>
            </w:tcBorders>
            <w:vAlign w:val="center"/>
          </w:tcPr>
          <w:p w14:paraId="65646A7E">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8370</w:t>
            </w:r>
          </w:p>
        </w:tc>
        <w:tc>
          <w:tcPr>
            <w:tcW w:w="519" w:type="pct"/>
            <w:tcBorders>
              <w:top w:val="single" w:color="auto" w:sz="4" w:space="0"/>
              <w:left w:val="single" w:color="auto" w:sz="4" w:space="0"/>
              <w:bottom w:val="nil"/>
              <w:right w:val="single" w:color="auto" w:sz="4" w:space="0"/>
            </w:tcBorders>
            <w:vAlign w:val="center"/>
          </w:tcPr>
          <w:p w14:paraId="62B06BC9">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8370</w:t>
            </w:r>
          </w:p>
        </w:tc>
        <w:tc>
          <w:tcPr>
            <w:tcW w:w="565" w:type="pct"/>
            <w:tcBorders>
              <w:top w:val="single" w:color="auto" w:sz="4" w:space="0"/>
              <w:left w:val="single" w:color="auto" w:sz="4" w:space="0"/>
              <w:bottom w:val="nil"/>
              <w:right w:val="single" w:color="auto" w:sz="4" w:space="0"/>
            </w:tcBorders>
            <w:vAlign w:val="center"/>
          </w:tcPr>
          <w:p w14:paraId="7C69644A">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8370</w:t>
            </w:r>
          </w:p>
        </w:tc>
        <w:tc>
          <w:tcPr>
            <w:tcW w:w="690" w:type="pct"/>
            <w:tcBorders>
              <w:top w:val="single" w:color="auto" w:sz="4" w:space="0"/>
              <w:left w:val="single" w:color="auto" w:sz="4" w:space="0"/>
              <w:bottom w:val="nil"/>
              <w:right w:val="single" w:color="auto" w:sz="4" w:space="0"/>
            </w:tcBorders>
            <w:vAlign w:val="center"/>
          </w:tcPr>
          <w:p w14:paraId="192E2EC5">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8370</w:t>
            </w:r>
          </w:p>
        </w:tc>
        <w:tc>
          <w:tcPr>
            <w:tcW w:w="653" w:type="pct"/>
            <w:tcBorders>
              <w:top w:val="single" w:color="auto" w:sz="4" w:space="0"/>
              <w:left w:val="single" w:color="auto" w:sz="4" w:space="0"/>
              <w:bottom w:val="nil"/>
              <w:right w:val="nil"/>
            </w:tcBorders>
            <w:shd w:val="clear" w:color="auto" w:fill="auto"/>
            <w:vAlign w:val="top"/>
          </w:tcPr>
          <w:p w14:paraId="37FCB051">
            <w:pPr>
              <w:widowControl/>
              <w:snapToGrid w:val="0"/>
              <w:spacing w:beforeLines="0" w:afterLines="0" w:line="300" w:lineRule="auto"/>
              <w:jc w:val="center"/>
              <w:textAlignment w:val="bottom"/>
              <w:rPr>
                <w:rFonts w:hint="default" w:ascii="Times New Roman" w:hAnsi="Times New Roman" w:eastAsia="宋体" w:cs="Times New Roman"/>
                <w:i w:val="0"/>
                <w:iCs/>
                <w:kern w:val="2"/>
                <w:sz w:val="18"/>
                <w:szCs w:val="18"/>
                <w:lang w:val="en-US" w:eastAsia="zh-CN" w:bidi="ar-SA"/>
              </w:rPr>
            </w:pPr>
            <w:r>
              <w:rPr>
                <w:rFonts w:hint="default" w:ascii="Times New Roman" w:hAnsi="Times New Roman" w:eastAsia="宋体" w:cs="Times New Roman"/>
                <w:i w:val="0"/>
                <w:iCs/>
                <w:sz w:val="18"/>
                <w:szCs w:val="18"/>
              </w:rPr>
              <w:t>5850</w:t>
            </w:r>
          </w:p>
        </w:tc>
      </w:tr>
      <w:tr w14:paraId="1A83DEC4">
        <w:tblPrEx>
          <w:tblCellMar>
            <w:top w:w="0" w:type="dxa"/>
            <w:left w:w="108" w:type="dxa"/>
            <w:bottom w:w="0" w:type="dxa"/>
            <w:right w:w="108" w:type="dxa"/>
          </w:tblCellMar>
        </w:tblPrEx>
        <w:tc>
          <w:tcPr>
            <w:tcW w:w="690" w:type="pct"/>
            <w:tcBorders>
              <w:top w:val="nil"/>
              <w:left w:val="nil"/>
              <w:bottom w:val="nil"/>
              <w:right w:val="single" w:color="auto" w:sz="4" w:space="0"/>
            </w:tcBorders>
            <w:vAlign w:val="center"/>
          </w:tcPr>
          <w:p w14:paraId="2662EDAA">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r2_a</w:t>
            </w:r>
          </w:p>
        </w:tc>
        <w:tc>
          <w:tcPr>
            <w:tcW w:w="574" w:type="pct"/>
            <w:tcBorders>
              <w:top w:val="nil"/>
              <w:left w:val="single" w:color="auto" w:sz="4" w:space="0"/>
              <w:bottom w:val="nil"/>
              <w:right w:val="single" w:color="auto" w:sz="4" w:space="0"/>
            </w:tcBorders>
            <w:vAlign w:val="center"/>
          </w:tcPr>
          <w:p w14:paraId="3621B999">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0.323</w:t>
            </w:r>
          </w:p>
        </w:tc>
        <w:tc>
          <w:tcPr>
            <w:tcW w:w="576" w:type="pct"/>
            <w:tcBorders>
              <w:top w:val="nil"/>
              <w:left w:val="single" w:color="auto" w:sz="4" w:space="0"/>
              <w:bottom w:val="nil"/>
              <w:right w:val="single" w:color="auto" w:sz="4" w:space="0"/>
            </w:tcBorders>
            <w:vAlign w:val="center"/>
          </w:tcPr>
          <w:p w14:paraId="6F3C641A">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0.329</w:t>
            </w:r>
          </w:p>
        </w:tc>
        <w:tc>
          <w:tcPr>
            <w:tcW w:w="729" w:type="pct"/>
            <w:tcBorders>
              <w:top w:val="nil"/>
              <w:left w:val="single" w:color="auto" w:sz="4" w:space="0"/>
              <w:bottom w:val="nil"/>
              <w:right w:val="single" w:color="auto" w:sz="4" w:space="0"/>
            </w:tcBorders>
            <w:vAlign w:val="center"/>
          </w:tcPr>
          <w:p w14:paraId="78E51719">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0.423</w:t>
            </w:r>
          </w:p>
        </w:tc>
        <w:tc>
          <w:tcPr>
            <w:tcW w:w="519" w:type="pct"/>
            <w:tcBorders>
              <w:top w:val="nil"/>
              <w:left w:val="single" w:color="auto" w:sz="4" w:space="0"/>
              <w:bottom w:val="nil"/>
              <w:right w:val="single" w:color="auto" w:sz="4" w:space="0"/>
            </w:tcBorders>
            <w:vAlign w:val="center"/>
          </w:tcPr>
          <w:p w14:paraId="702E1989">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0.323</w:t>
            </w:r>
          </w:p>
        </w:tc>
        <w:tc>
          <w:tcPr>
            <w:tcW w:w="565" w:type="pct"/>
            <w:tcBorders>
              <w:top w:val="nil"/>
              <w:left w:val="single" w:color="auto" w:sz="4" w:space="0"/>
              <w:bottom w:val="nil"/>
              <w:right w:val="single" w:color="auto" w:sz="4" w:space="0"/>
            </w:tcBorders>
            <w:vAlign w:val="center"/>
          </w:tcPr>
          <w:p w14:paraId="7568ACA7">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-0.125</w:t>
            </w:r>
          </w:p>
        </w:tc>
        <w:tc>
          <w:tcPr>
            <w:tcW w:w="690" w:type="pct"/>
            <w:tcBorders>
              <w:top w:val="nil"/>
              <w:left w:val="single" w:color="auto" w:sz="4" w:space="0"/>
              <w:bottom w:val="nil"/>
              <w:right w:val="single" w:color="auto" w:sz="4" w:space="0"/>
            </w:tcBorders>
            <w:vAlign w:val="center"/>
          </w:tcPr>
          <w:p w14:paraId="14FBE353">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0.324</w:t>
            </w:r>
          </w:p>
        </w:tc>
        <w:tc>
          <w:tcPr>
            <w:tcW w:w="653" w:type="pct"/>
            <w:tcBorders>
              <w:top w:val="nil"/>
              <w:left w:val="single" w:color="auto" w:sz="4" w:space="0"/>
              <w:bottom w:val="nil"/>
              <w:right w:val="nil"/>
            </w:tcBorders>
            <w:shd w:val="clear" w:color="auto" w:fill="auto"/>
            <w:vAlign w:val="top"/>
          </w:tcPr>
          <w:p w14:paraId="18023017">
            <w:pPr>
              <w:widowControl/>
              <w:snapToGrid w:val="0"/>
              <w:spacing w:beforeLines="0" w:afterLines="0" w:line="300" w:lineRule="auto"/>
              <w:jc w:val="center"/>
              <w:textAlignment w:val="bottom"/>
              <w:rPr>
                <w:rFonts w:hint="default" w:ascii="Times New Roman" w:hAnsi="Times New Roman" w:eastAsia="宋体" w:cs="Times New Roman"/>
                <w:i w:val="0"/>
                <w:iCs/>
                <w:kern w:val="2"/>
                <w:sz w:val="18"/>
                <w:szCs w:val="18"/>
                <w:lang w:val="en-US" w:eastAsia="zh-CN" w:bidi="ar-SA"/>
              </w:rPr>
            </w:pPr>
            <w:r>
              <w:rPr>
                <w:rFonts w:hint="default" w:ascii="Times New Roman" w:hAnsi="Times New Roman" w:eastAsia="宋体" w:cs="Times New Roman"/>
                <w:i w:val="0"/>
                <w:iCs/>
                <w:sz w:val="18"/>
                <w:szCs w:val="18"/>
              </w:rPr>
              <w:t>0.294</w:t>
            </w:r>
          </w:p>
        </w:tc>
      </w:tr>
      <w:tr w14:paraId="3D89AC34">
        <w:tblPrEx>
          <w:tblCellMar>
            <w:top w:w="0" w:type="dxa"/>
            <w:left w:w="108" w:type="dxa"/>
            <w:bottom w:w="0" w:type="dxa"/>
            <w:right w:w="108" w:type="dxa"/>
          </w:tblCellMar>
        </w:tblPrEx>
        <w:tc>
          <w:tcPr>
            <w:tcW w:w="690" w:type="pct"/>
            <w:tcBorders>
              <w:top w:val="nil"/>
              <w:left w:val="nil"/>
              <w:bottom w:val="single" w:color="auto" w:sz="8" w:space="0"/>
              <w:right w:val="single" w:color="auto" w:sz="4" w:space="0"/>
            </w:tcBorders>
            <w:vAlign w:val="center"/>
          </w:tcPr>
          <w:p w14:paraId="2ECFE2E2">
            <w:pPr>
              <w:widowControl w:val="0"/>
              <w:snapToGrid w:val="0"/>
              <w:spacing w:line="288" w:lineRule="auto"/>
              <w:jc w:val="center"/>
              <w:textAlignment w:val="auto"/>
              <w:rPr>
                <w:rFonts w:ascii="Times New Roman" w:hAnsi="Times New Roman" w:eastAsia="宋体" w:cs="Times New Roman"/>
                <w:i w:val="0"/>
                <w:color w:val="auto"/>
                <w:sz w:val="18"/>
                <w:szCs w:val="18"/>
              </w:rPr>
            </w:pPr>
            <w:r>
              <w:rPr>
                <w:rFonts w:ascii="Times New Roman" w:hAnsi="Times New Roman" w:eastAsia="宋体" w:cs="Times New Roman"/>
                <w:i w:val="0"/>
                <w:color w:val="auto"/>
                <w:sz w:val="18"/>
                <w:szCs w:val="18"/>
              </w:rPr>
              <w:t>F</w:t>
            </w:r>
          </w:p>
        </w:tc>
        <w:tc>
          <w:tcPr>
            <w:tcW w:w="574" w:type="pct"/>
            <w:tcBorders>
              <w:top w:val="nil"/>
              <w:left w:val="single" w:color="auto" w:sz="4" w:space="0"/>
              <w:bottom w:val="single" w:color="auto" w:sz="8" w:space="0"/>
              <w:right w:val="single" w:color="auto" w:sz="4" w:space="0"/>
            </w:tcBorders>
            <w:vAlign w:val="center"/>
          </w:tcPr>
          <w:p w14:paraId="3C072041">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22.928</w:t>
            </w:r>
          </w:p>
        </w:tc>
        <w:tc>
          <w:tcPr>
            <w:tcW w:w="576" w:type="pct"/>
            <w:tcBorders>
              <w:top w:val="nil"/>
              <w:left w:val="single" w:color="auto" w:sz="4" w:space="0"/>
              <w:bottom w:val="single" w:color="auto" w:sz="8" w:space="0"/>
              <w:right w:val="single" w:color="auto" w:sz="4" w:space="0"/>
            </w:tcBorders>
            <w:vAlign w:val="center"/>
          </w:tcPr>
          <w:p w14:paraId="40DA74FC">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14.832</w:t>
            </w:r>
          </w:p>
        </w:tc>
        <w:tc>
          <w:tcPr>
            <w:tcW w:w="729" w:type="pct"/>
            <w:tcBorders>
              <w:top w:val="nil"/>
              <w:left w:val="single" w:color="auto" w:sz="4" w:space="0"/>
              <w:bottom w:val="single" w:color="auto" w:sz="8" w:space="0"/>
              <w:right w:val="single" w:color="auto" w:sz="4" w:space="0"/>
            </w:tcBorders>
            <w:vAlign w:val="center"/>
          </w:tcPr>
          <w:p w14:paraId="6C9B6370">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25.401</w:t>
            </w:r>
          </w:p>
        </w:tc>
        <w:tc>
          <w:tcPr>
            <w:tcW w:w="519" w:type="pct"/>
            <w:tcBorders>
              <w:top w:val="nil"/>
              <w:left w:val="single" w:color="auto" w:sz="4" w:space="0"/>
              <w:bottom w:val="single" w:color="auto" w:sz="8" w:space="0"/>
              <w:right w:val="single" w:color="auto" w:sz="4" w:space="0"/>
            </w:tcBorders>
            <w:vAlign w:val="center"/>
          </w:tcPr>
          <w:p w14:paraId="2DD03CFE">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21.118</w:t>
            </w:r>
          </w:p>
        </w:tc>
        <w:tc>
          <w:tcPr>
            <w:tcW w:w="565" w:type="pct"/>
            <w:tcBorders>
              <w:top w:val="nil"/>
              <w:left w:val="single" w:color="auto" w:sz="4" w:space="0"/>
              <w:bottom w:val="single" w:color="auto" w:sz="8" w:space="0"/>
              <w:right w:val="single" w:color="auto" w:sz="4" w:space="0"/>
            </w:tcBorders>
            <w:vAlign w:val="center"/>
          </w:tcPr>
          <w:p w14:paraId="0CFB53E2">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1.256</w:t>
            </w:r>
          </w:p>
        </w:tc>
        <w:tc>
          <w:tcPr>
            <w:tcW w:w="690" w:type="pct"/>
            <w:tcBorders>
              <w:top w:val="nil"/>
              <w:left w:val="single" w:color="auto" w:sz="4" w:space="0"/>
              <w:bottom w:val="single" w:color="auto" w:sz="8" w:space="0"/>
              <w:right w:val="single" w:color="auto" w:sz="4" w:space="0"/>
            </w:tcBorders>
            <w:vAlign w:val="center"/>
          </w:tcPr>
          <w:p w14:paraId="49D07325">
            <w:pPr>
              <w:widowControl/>
              <w:snapToGrid w:val="0"/>
              <w:spacing w:beforeLines="0" w:afterLines="0" w:line="300" w:lineRule="auto"/>
              <w:jc w:val="center"/>
              <w:textAlignment w:val="bottom"/>
              <w:rPr>
                <w:rFonts w:hint="default" w:ascii="Times New Roman" w:hAnsi="Times New Roman" w:eastAsia="宋体" w:cs="Times New Roman"/>
                <w:i w:val="0"/>
                <w:iCs/>
                <w:color w:val="auto"/>
                <w:kern w:val="2"/>
                <w:sz w:val="18"/>
                <w:szCs w:val="18"/>
                <w:lang w:val="en-US" w:eastAsia="zh-CN" w:bidi="ar-SA"/>
              </w:rPr>
            </w:pPr>
            <w:r>
              <w:rPr>
                <w:rFonts w:hint="default" w:ascii="Times New Roman" w:hAnsi="Times New Roman" w:eastAsia="宋体" w:cs="Times New Roman"/>
                <w:i w:val="0"/>
                <w:iCs/>
                <w:color w:val="auto"/>
                <w:sz w:val="18"/>
                <w:szCs w:val="18"/>
              </w:rPr>
              <w:t>21.689</w:t>
            </w:r>
          </w:p>
        </w:tc>
        <w:tc>
          <w:tcPr>
            <w:tcW w:w="653" w:type="pct"/>
            <w:tcBorders>
              <w:top w:val="nil"/>
              <w:left w:val="single" w:color="auto" w:sz="4" w:space="0"/>
              <w:bottom w:val="single" w:color="auto" w:sz="8" w:space="0"/>
              <w:right w:val="nil"/>
            </w:tcBorders>
            <w:shd w:val="clear" w:color="auto" w:fill="auto"/>
            <w:vAlign w:val="top"/>
          </w:tcPr>
          <w:p w14:paraId="3476BD7D">
            <w:pPr>
              <w:widowControl/>
              <w:snapToGrid w:val="0"/>
              <w:spacing w:beforeLines="0" w:afterLines="0" w:line="300" w:lineRule="auto"/>
              <w:jc w:val="center"/>
              <w:textAlignment w:val="bottom"/>
              <w:rPr>
                <w:rFonts w:hint="default" w:ascii="Times New Roman" w:hAnsi="Times New Roman" w:eastAsia="宋体" w:cs="Times New Roman"/>
                <w:i w:val="0"/>
                <w:iCs/>
                <w:kern w:val="2"/>
                <w:sz w:val="18"/>
                <w:szCs w:val="18"/>
                <w:lang w:val="en-US" w:eastAsia="zh-CN" w:bidi="ar-SA"/>
              </w:rPr>
            </w:pPr>
            <w:r>
              <w:rPr>
                <w:rFonts w:hint="default" w:ascii="Times New Roman" w:hAnsi="Times New Roman" w:eastAsia="宋体" w:cs="Times New Roman"/>
                <w:i w:val="0"/>
                <w:iCs/>
                <w:sz w:val="18"/>
                <w:szCs w:val="18"/>
              </w:rPr>
              <w:t>5.570</w:t>
            </w:r>
          </w:p>
        </w:tc>
      </w:tr>
    </w:tbl>
    <w:p w14:paraId="0F82586C">
      <w:pPr>
        <w:widowControl/>
        <w:snapToGrid w:val="0"/>
        <w:spacing w:line="288" w:lineRule="auto"/>
        <w:ind w:firstLine="420" w:firstLineChars="200"/>
        <w:jc w:val="both"/>
        <w:textAlignment w:val="bottom"/>
        <w:rPr>
          <w:rFonts w:ascii="Times New Roman" w:hAnsi="Times New Roman" w:eastAsia="宋体" w:cs="Times New Roman"/>
          <w:i w:val="0"/>
          <w:iCs/>
          <w:color w:val="auto"/>
          <w:sz w:val="21"/>
          <w:szCs w:val="21"/>
        </w:rPr>
      </w:pPr>
    </w:p>
    <w:p w14:paraId="54E0258B">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6.考虑政策发生时点的不一致性</w:t>
      </w:r>
    </w:p>
    <w:p w14:paraId="1D00FA34">
      <w:pPr>
        <w:widowControl/>
        <w:snapToGrid w:val="0"/>
        <w:spacing w:line="288" w:lineRule="auto"/>
        <w:ind w:firstLine="420" w:firstLineChars="200"/>
        <w:jc w:val="both"/>
        <w:textAlignment w:val="bottom"/>
        <w:rPr>
          <w:rFonts w:hint="eastAsia" w:ascii="Times New Roman" w:hAnsi="Times New Roman" w:eastAsia="宋体" w:cs="Times New Roman"/>
          <w:i w:val="0"/>
          <w:iCs/>
          <w:color w:val="auto"/>
          <w:sz w:val="21"/>
          <w:szCs w:val="21"/>
        </w:rPr>
      </w:pPr>
      <w:r>
        <w:rPr>
          <w:rFonts w:ascii="Times New Roman" w:hAnsi="Times New Roman" w:eastAsia="宋体" w:cs="Times New Roman"/>
          <w:i w:val="0"/>
          <w:iCs/>
          <w:color w:val="auto"/>
          <w:sz w:val="21"/>
          <w:szCs w:val="21"/>
        </w:rPr>
        <w:t>Goodman-Bacon（2021）</w:t>
      </w:r>
      <w:r>
        <w:rPr>
          <w:rStyle w:val="9"/>
          <w:rFonts w:ascii="Times New Roman" w:hAnsi="Times New Roman" w:eastAsia="宋体" w:cs="Times New Roman"/>
          <w:i w:val="0"/>
          <w:iCs/>
          <w:color w:val="auto"/>
          <w:sz w:val="21"/>
          <w:szCs w:val="21"/>
        </w:rPr>
        <w:footnoteReference w:id="6"/>
      </w:r>
      <w:r>
        <w:rPr>
          <w:rFonts w:ascii="Times New Roman" w:hAnsi="Times New Roman" w:eastAsia="宋体" w:cs="Times New Roman"/>
          <w:i w:val="0"/>
          <w:iCs/>
          <w:color w:val="auto"/>
          <w:sz w:val="21"/>
          <w:szCs w:val="21"/>
        </w:rPr>
        <w:t>指出由于政策发生时间的不一致性，使用基于双向固定效应的交叠双重差分模型进行回归的估计结果可能存在偏误。使用相对较早受政策影响的样本作为相对较晚受政策影响组</w:t>
      </w:r>
      <w:r>
        <w:rPr>
          <w:rFonts w:hint="eastAsia" w:ascii="Times New Roman" w:hAnsi="Times New Roman" w:eastAsia="宋体" w:cs="Times New Roman"/>
          <w:i w:val="0"/>
          <w:iCs/>
          <w:color w:val="auto"/>
          <w:sz w:val="21"/>
          <w:szCs w:val="21"/>
        </w:rPr>
        <w:t>别</w:t>
      </w:r>
      <w:r>
        <w:rPr>
          <w:rFonts w:ascii="Times New Roman" w:hAnsi="Times New Roman" w:eastAsia="宋体" w:cs="Times New Roman"/>
          <w:i w:val="0"/>
          <w:iCs/>
          <w:color w:val="auto"/>
          <w:sz w:val="21"/>
          <w:szCs w:val="21"/>
        </w:rPr>
        <w:t>的控制组将产生估计偏误。因而，此处采用Goodman-Bacon（2021）提出的培根分解方法对基准的双重差分模型进行了分解。分解结果如图</w:t>
      </w:r>
      <w:r>
        <w:rPr>
          <w:rFonts w:hint="eastAsia" w:ascii="Times New Roman" w:hAnsi="Times New Roman" w:eastAsia="宋体" w:cs="Times New Roman"/>
          <w:i w:val="0"/>
          <w:iCs/>
          <w:color w:val="auto"/>
          <w:sz w:val="21"/>
          <w:szCs w:val="21"/>
          <w:lang w:val="en-US" w:eastAsia="zh-CN"/>
        </w:rPr>
        <w:t>4</w:t>
      </w:r>
      <w:r>
        <w:rPr>
          <w:rFonts w:ascii="Times New Roman" w:hAnsi="Times New Roman" w:eastAsia="宋体" w:cs="Times New Roman"/>
          <w:i w:val="0"/>
          <w:iCs/>
          <w:color w:val="auto"/>
          <w:sz w:val="21"/>
          <w:szCs w:val="21"/>
        </w:rPr>
        <w:t>所示，叉号所示为可能产生估计偏误的结果，可以发现叉号位置明显偏左，其所占权重较小，仅为0.0</w:t>
      </w:r>
      <w:r>
        <w:rPr>
          <w:rFonts w:hint="eastAsia" w:ascii="Times New Roman" w:hAnsi="Times New Roman" w:eastAsia="宋体" w:cs="Times New Roman"/>
          <w:i w:val="0"/>
          <w:iCs/>
          <w:color w:val="auto"/>
          <w:sz w:val="21"/>
          <w:szCs w:val="21"/>
        </w:rPr>
        <w:t>22</w:t>
      </w:r>
      <w:r>
        <w:rPr>
          <w:rFonts w:ascii="Times New Roman" w:hAnsi="Times New Roman" w:eastAsia="宋体" w:cs="Times New Roman"/>
          <w:i w:val="0"/>
          <w:iCs/>
          <w:color w:val="auto"/>
          <w:sz w:val="21"/>
          <w:szCs w:val="21"/>
        </w:rPr>
        <w:t>。因此产生的偏误对本文分析结果的干扰较小。本文回归结果稳健。</w:t>
      </w:r>
    </w:p>
    <w:p w14:paraId="57A5E733">
      <w:pPr>
        <w:widowControl/>
        <w:snapToGrid w:val="0"/>
        <w:spacing w:line="288" w:lineRule="auto"/>
        <w:jc w:val="both"/>
        <w:textAlignment w:val="bottom"/>
        <w:rPr>
          <w:rFonts w:ascii="Times New Roman" w:hAnsi="Times New Roman" w:eastAsia="宋体" w:cs="Times New Roman"/>
          <w:i w:val="0"/>
          <w:iCs/>
          <w:color w:val="auto"/>
          <w:sz w:val="15"/>
          <w:szCs w:val="15"/>
        </w:rPr>
      </w:pPr>
      <w:r>
        <w:rPr>
          <w:rFonts w:ascii="Cambria Math" w:hAnsi="Cambria Math" w:eastAsia="宋体" w:cs="Times New Roman"/>
          <w:i/>
          <w:color w:val="auto"/>
          <w:sz w:val="18"/>
          <w:szCs w:val="18"/>
        </w:rPr>
        <w:drawing>
          <wp:inline distT="0" distB="0" distL="114300" distR="114300">
            <wp:extent cx="2623820" cy="1908175"/>
            <wp:effectExtent l="0" t="0" r="5080" b="6350"/>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pic:cNvPicPr>
                      <a:picLocks noChangeAspect="1"/>
                    </pic:cNvPicPr>
                  </pic:nvPicPr>
                  <pic:blipFill>
                    <a:blip r:embed="rId7"/>
                    <a:stretch>
                      <a:fillRect/>
                    </a:stretch>
                  </pic:blipFill>
                  <pic:spPr>
                    <a:xfrm>
                      <a:off x="0" y="0"/>
                      <a:ext cx="2623820" cy="1908175"/>
                    </a:xfrm>
                    <a:prstGeom prst="rect">
                      <a:avLst/>
                    </a:prstGeom>
                    <a:noFill/>
                    <a:ln>
                      <a:noFill/>
                    </a:ln>
                  </pic:spPr>
                </pic:pic>
              </a:graphicData>
            </a:graphic>
          </wp:inline>
        </w:drawing>
      </w:r>
      <w:r>
        <w:rPr>
          <w:rFonts w:ascii="Cambria Math" w:hAnsi="Cambria Math" w:eastAsia="宋体" w:cs="Times New Roman"/>
          <w:i/>
          <w:color w:val="auto"/>
          <w:sz w:val="18"/>
          <w:szCs w:val="18"/>
        </w:rPr>
        <w:drawing>
          <wp:inline distT="0" distB="0" distL="114300" distR="114300">
            <wp:extent cx="2623820" cy="1908175"/>
            <wp:effectExtent l="0" t="0" r="5080" b="6350"/>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8"/>
                    <a:stretch>
                      <a:fillRect/>
                    </a:stretch>
                  </pic:blipFill>
                  <pic:spPr>
                    <a:xfrm>
                      <a:off x="0" y="0"/>
                      <a:ext cx="2623820" cy="1908175"/>
                    </a:xfrm>
                    <a:prstGeom prst="rect">
                      <a:avLst/>
                    </a:prstGeom>
                    <a:noFill/>
                    <a:ln>
                      <a:noFill/>
                    </a:ln>
                  </pic:spPr>
                </pic:pic>
              </a:graphicData>
            </a:graphic>
          </wp:inline>
        </w:drawing>
      </w:r>
    </w:p>
    <w:p w14:paraId="74E7C177">
      <w:pPr>
        <w:widowControl/>
        <w:snapToGrid w:val="0"/>
        <w:spacing w:line="288" w:lineRule="auto"/>
        <w:ind w:firstLine="360"/>
        <w:jc w:val="center"/>
        <w:textAlignment w:val="bottom"/>
        <w:rPr>
          <w:rFonts w:ascii="Times New Roman" w:hAnsi="Times New Roman" w:eastAsia="黑体" w:cs="Times New Roman"/>
          <w:i w:val="0"/>
          <w:iCs/>
          <w:color w:val="auto"/>
          <w:sz w:val="18"/>
          <w:szCs w:val="18"/>
        </w:rPr>
      </w:pPr>
      <w:r>
        <w:rPr>
          <w:rFonts w:ascii="Times New Roman" w:hAnsi="Times New Roman" w:eastAsia="黑体" w:cs="Times New Roman"/>
          <w:i w:val="0"/>
          <w:iCs/>
          <w:color w:val="auto"/>
          <w:sz w:val="18"/>
          <w:szCs w:val="18"/>
        </w:rPr>
        <w:t>图</w:t>
      </w:r>
      <w:r>
        <w:rPr>
          <w:rFonts w:hint="eastAsia" w:ascii="Times New Roman" w:hAnsi="Times New Roman" w:eastAsia="黑体" w:cs="Times New Roman"/>
          <w:i w:val="0"/>
          <w:iCs/>
          <w:color w:val="auto"/>
          <w:sz w:val="18"/>
          <w:szCs w:val="18"/>
          <w:lang w:val="en-US" w:eastAsia="zh-CN"/>
        </w:rPr>
        <w:t>4</w:t>
      </w:r>
      <w:r>
        <w:rPr>
          <w:rFonts w:ascii="Times New Roman" w:hAnsi="Times New Roman" w:eastAsia="黑体" w:cs="Times New Roman"/>
          <w:i w:val="0"/>
          <w:iCs/>
          <w:color w:val="auto"/>
          <w:sz w:val="18"/>
          <w:szCs w:val="18"/>
        </w:rPr>
        <w:t xml:space="preserve">  Bacon分解结果</w:t>
      </w:r>
      <w:r>
        <w:rPr>
          <w:rFonts w:hint="eastAsia" w:ascii="Times New Roman" w:hAnsi="Times New Roman" w:eastAsia="黑体" w:cs="Times New Roman"/>
          <w:i w:val="0"/>
          <w:iCs/>
          <w:color w:val="auto"/>
          <w:sz w:val="18"/>
          <w:szCs w:val="18"/>
          <w:lang w:val="en-US" w:eastAsia="zh-CN"/>
        </w:rPr>
        <w:t xml:space="preserve">                           </w:t>
      </w:r>
      <w:r>
        <w:rPr>
          <w:rFonts w:ascii="Times New Roman" w:hAnsi="Times New Roman" w:eastAsia="黑体" w:cs="Times New Roman"/>
          <w:i w:val="0"/>
          <w:iCs/>
          <w:color w:val="auto"/>
          <w:sz w:val="18"/>
          <w:szCs w:val="18"/>
        </w:rPr>
        <w:t>图</w:t>
      </w:r>
      <w:r>
        <w:rPr>
          <w:rFonts w:hint="eastAsia" w:ascii="Times New Roman" w:hAnsi="Times New Roman" w:eastAsia="黑体" w:cs="Times New Roman"/>
          <w:i w:val="0"/>
          <w:iCs/>
          <w:color w:val="auto"/>
          <w:sz w:val="18"/>
          <w:szCs w:val="18"/>
          <w:lang w:val="en-US" w:eastAsia="zh-CN"/>
        </w:rPr>
        <w:t>5</w:t>
      </w:r>
      <w:r>
        <w:rPr>
          <w:rFonts w:hint="eastAsia" w:ascii="Times New Roman" w:hAnsi="Times New Roman" w:eastAsia="黑体" w:cs="Times New Roman"/>
          <w:i w:val="0"/>
          <w:iCs/>
          <w:color w:val="auto"/>
          <w:sz w:val="18"/>
          <w:szCs w:val="18"/>
        </w:rPr>
        <w:t xml:space="preserve"> </w:t>
      </w:r>
      <w:r>
        <w:rPr>
          <w:rFonts w:ascii="Times New Roman" w:hAnsi="Times New Roman" w:eastAsia="黑体" w:cs="Times New Roman"/>
          <w:i w:val="0"/>
          <w:iCs/>
          <w:color w:val="auto"/>
          <w:sz w:val="18"/>
          <w:szCs w:val="18"/>
        </w:rPr>
        <w:t xml:space="preserve"> 安慰剂检验图</w:t>
      </w:r>
    </w:p>
    <w:p w14:paraId="06FEA744">
      <w:pPr>
        <w:widowControl/>
        <w:snapToGrid w:val="0"/>
        <w:spacing w:line="288" w:lineRule="auto"/>
        <w:ind w:firstLine="360"/>
        <w:jc w:val="center"/>
        <w:textAlignment w:val="bottom"/>
        <w:rPr>
          <w:rFonts w:ascii="Times New Roman" w:hAnsi="Times New Roman" w:eastAsia="黑体" w:cs="Times New Roman"/>
          <w:i w:val="0"/>
          <w:iCs/>
          <w:color w:val="auto"/>
          <w:sz w:val="18"/>
          <w:szCs w:val="18"/>
        </w:rPr>
      </w:pPr>
    </w:p>
    <w:p w14:paraId="5A5E9CF1">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7.剔除直辖市与西藏自治区再检验</w:t>
      </w:r>
    </w:p>
    <w:p w14:paraId="7080BAB0">
      <w:pPr>
        <w:widowControl/>
        <w:snapToGrid w:val="0"/>
        <w:spacing w:line="288" w:lineRule="auto"/>
        <w:ind w:firstLine="420" w:firstLineChars="200"/>
        <w:jc w:val="both"/>
        <w:textAlignment w:val="bottom"/>
        <w:rPr>
          <w:rFonts w:ascii="Times New Roman" w:hAnsi="Times New Roman" w:eastAsia="宋体" w:cs="Times New Roman"/>
          <w:i w:val="0"/>
          <w:iCs/>
          <w:color w:val="auto"/>
          <w:sz w:val="21"/>
          <w:szCs w:val="21"/>
        </w:rPr>
      </w:pPr>
      <w:r>
        <w:rPr>
          <w:rFonts w:ascii="Times New Roman" w:hAnsi="Times New Roman" w:eastAsia="宋体" w:cs="Times New Roman"/>
          <w:i w:val="0"/>
          <w:iCs/>
          <w:color w:val="auto"/>
          <w:sz w:val="21"/>
          <w:szCs w:val="21"/>
        </w:rPr>
        <w:t>直辖市特殊的政策环境与西藏地区相对封闭的经济环境使得该部分地区与其它地区市场分割程度存在较为明显的差异。为排除该部分地区的特殊性对识别负面清单制度实行的市场整合效应的干扰，进一步</w:t>
      </w:r>
      <w:r>
        <w:rPr>
          <w:rFonts w:hint="eastAsia" w:ascii="Times New Roman" w:hAnsi="Times New Roman" w:eastAsia="宋体" w:cs="Times New Roman"/>
          <w:i w:val="0"/>
          <w:iCs/>
          <w:color w:val="auto"/>
          <w:sz w:val="21"/>
          <w:szCs w:val="21"/>
        </w:rPr>
        <w:t>在</w:t>
      </w:r>
      <w:r>
        <w:rPr>
          <w:rFonts w:ascii="Times New Roman" w:hAnsi="Times New Roman" w:eastAsia="宋体" w:cs="Times New Roman"/>
          <w:i w:val="0"/>
          <w:iCs/>
          <w:color w:val="auto"/>
          <w:sz w:val="21"/>
          <w:szCs w:val="21"/>
        </w:rPr>
        <w:t>样本中剔除直辖市与西藏自治区，并对剩余样本进行再检验。回归结果如</w:t>
      </w:r>
      <w:r>
        <w:rPr>
          <w:rFonts w:hint="eastAsia" w:ascii="Times New Roman" w:hAnsi="Times New Roman" w:eastAsia="宋体" w:cs="Times New Roman"/>
          <w:i w:val="0"/>
          <w:iCs/>
          <w:color w:val="auto"/>
          <w:sz w:val="21"/>
          <w:szCs w:val="21"/>
          <w:lang w:val="en-US" w:eastAsia="zh-CN"/>
        </w:rPr>
        <w:t>附表</w:t>
      </w:r>
      <w:r>
        <w:rPr>
          <w:rFonts w:ascii="Times New Roman" w:hAnsi="Times New Roman" w:eastAsia="宋体" w:cs="Times New Roman"/>
          <w:i w:val="0"/>
          <w:iCs/>
          <w:color w:val="auto"/>
          <w:sz w:val="21"/>
          <w:szCs w:val="21"/>
        </w:rPr>
        <w:t>列（</w:t>
      </w:r>
      <w:r>
        <w:rPr>
          <w:rFonts w:hint="eastAsia" w:ascii="Times New Roman" w:hAnsi="Times New Roman" w:eastAsia="宋体" w:cs="Times New Roman"/>
          <w:i w:val="0"/>
          <w:iCs/>
          <w:color w:val="auto"/>
          <w:sz w:val="21"/>
          <w:szCs w:val="21"/>
        </w:rPr>
        <w:t>7</w:t>
      </w:r>
      <w:r>
        <w:rPr>
          <w:rFonts w:ascii="Times New Roman" w:hAnsi="Times New Roman" w:eastAsia="宋体" w:cs="Times New Roman"/>
          <w:i w:val="0"/>
          <w:iCs/>
          <w:color w:val="auto"/>
          <w:sz w:val="21"/>
          <w:szCs w:val="21"/>
        </w:rPr>
        <w:t>）所示，结果稳健。</w:t>
      </w:r>
    </w:p>
    <w:p w14:paraId="2CC97B79">
      <w:pPr>
        <w:widowControl/>
        <w:snapToGrid w:val="0"/>
        <w:spacing w:line="288" w:lineRule="auto"/>
        <w:ind w:firstLine="420" w:firstLineChars="200"/>
        <w:jc w:val="both"/>
        <w:textAlignment w:val="bottom"/>
        <w:outlineLvl w:val="2"/>
        <w:rPr>
          <w:rFonts w:ascii="Times New Roman" w:hAnsi="Times New Roman" w:eastAsia="宋体" w:cs="Times New Roman"/>
          <w:i w:val="0"/>
          <w:iCs/>
          <w:color w:val="auto"/>
          <w:sz w:val="21"/>
          <w:szCs w:val="21"/>
        </w:rPr>
      </w:pPr>
      <w:r>
        <w:rPr>
          <w:rFonts w:hint="eastAsia" w:ascii="Times New Roman" w:hAnsi="Times New Roman" w:eastAsia="宋体" w:cs="Times New Roman"/>
          <w:i w:val="0"/>
          <w:iCs/>
          <w:color w:val="auto"/>
          <w:sz w:val="21"/>
          <w:szCs w:val="21"/>
        </w:rPr>
        <w:t>8.安慰剂检验</w:t>
      </w:r>
    </w:p>
    <w:p w14:paraId="0C683BE6">
      <w:pPr>
        <w:widowControl/>
        <w:snapToGrid w:val="0"/>
        <w:spacing w:line="288" w:lineRule="auto"/>
        <w:ind w:firstLine="420" w:firstLineChars="200"/>
        <w:jc w:val="both"/>
        <w:textAlignment w:val="bottom"/>
        <w:rPr>
          <w:rFonts w:ascii="Times New Roman" w:hAnsi="Times New Roman" w:eastAsia="黑体" w:cs="Times New Roman"/>
          <w:i w:val="0"/>
          <w:iCs/>
          <w:color w:val="auto"/>
          <w:sz w:val="18"/>
          <w:szCs w:val="18"/>
        </w:rPr>
      </w:pPr>
      <w:r>
        <w:rPr>
          <w:rFonts w:ascii="Times New Roman" w:hAnsi="Times New Roman" w:eastAsia="宋体" w:cs="Times New Roman"/>
          <w:i w:val="0"/>
          <w:iCs/>
          <w:color w:val="auto"/>
          <w:sz w:val="21"/>
          <w:szCs w:val="21"/>
        </w:rPr>
        <w:t>为排除随机因素</w:t>
      </w:r>
      <w:r>
        <w:rPr>
          <w:rFonts w:hint="eastAsia" w:ascii="Times New Roman" w:hAnsi="Times New Roman" w:eastAsia="宋体" w:cs="Times New Roman"/>
          <w:i w:val="0"/>
          <w:iCs/>
          <w:color w:val="auto"/>
          <w:sz w:val="21"/>
          <w:szCs w:val="21"/>
        </w:rPr>
        <w:t>对识别市场整合效应可能产生的</w:t>
      </w:r>
      <w:r>
        <w:rPr>
          <w:rFonts w:ascii="Times New Roman" w:hAnsi="Times New Roman" w:eastAsia="宋体" w:cs="Times New Roman"/>
          <w:i w:val="0"/>
          <w:iCs/>
          <w:color w:val="auto"/>
          <w:sz w:val="21"/>
          <w:szCs w:val="21"/>
        </w:rPr>
        <w:t>干扰，本文通过构造虚假的处理组与虚假的时间冲击进行了安慰剂检验。</w:t>
      </w:r>
      <w:r>
        <w:rPr>
          <w:rFonts w:hint="eastAsia" w:ascii="Times New Roman" w:hAnsi="Times New Roman" w:eastAsia="宋体" w:cs="Times New Roman"/>
          <w:i w:val="0"/>
          <w:iCs/>
          <w:color w:val="auto"/>
          <w:sz w:val="21"/>
          <w:szCs w:val="21"/>
        </w:rPr>
        <w:t>具体而言，</w:t>
      </w:r>
      <w:r>
        <w:rPr>
          <w:rFonts w:ascii="Times New Roman" w:hAnsi="Times New Roman" w:eastAsia="宋体" w:cs="Times New Roman"/>
          <w:i w:val="0"/>
          <w:iCs/>
          <w:color w:val="auto"/>
          <w:sz w:val="21"/>
          <w:szCs w:val="21"/>
        </w:rPr>
        <w:t>基于省份与年份随机抽</w:t>
      </w:r>
      <w:r>
        <w:rPr>
          <w:rFonts w:hint="eastAsia" w:ascii="Times New Roman" w:hAnsi="Times New Roman" w:eastAsia="宋体" w:cs="Times New Roman"/>
          <w:i w:val="0"/>
          <w:iCs/>
          <w:color w:val="auto"/>
          <w:sz w:val="21"/>
          <w:szCs w:val="21"/>
        </w:rPr>
        <w:t>样</w:t>
      </w:r>
      <w:r>
        <w:rPr>
          <w:rFonts w:ascii="Times New Roman" w:hAnsi="Times New Roman" w:eastAsia="宋体" w:cs="Times New Roman"/>
          <w:i w:val="0"/>
          <w:iCs/>
          <w:color w:val="auto"/>
          <w:sz w:val="21"/>
          <w:szCs w:val="21"/>
        </w:rPr>
        <w:t>1000次，得到其回归系数及标准误，并将其整理为如图</w:t>
      </w:r>
      <w:r>
        <w:rPr>
          <w:rFonts w:hint="eastAsia" w:ascii="Times New Roman" w:hAnsi="Times New Roman" w:eastAsia="宋体" w:cs="Times New Roman"/>
          <w:i w:val="0"/>
          <w:iCs/>
          <w:color w:val="auto"/>
          <w:sz w:val="21"/>
          <w:szCs w:val="21"/>
          <w:lang w:val="en-US" w:eastAsia="zh-CN"/>
        </w:rPr>
        <w:t>5</w:t>
      </w:r>
      <w:r>
        <w:rPr>
          <w:rFonts w:ascii="Times New Roman" w:hAnsi="Times New Roman" w:eastAsia="宋体" w:cs="Times New Roman"/>
          <w:i w:val="0"/>
          <w:iCs/>
          <w:color w:val="auto"/>
          <w:sz w:val="21"/>
          <w:szCs w:val="21"/>
        </w:rPr>
        <w:t>所示简图，其中，竖线为本文基准回归结果系数值0.</w:t>
      </w:r>
      <w:r>
        <w:rPr>
          <w:rFonts w:hint="eastAsia" w:ascii="Times New Roman" w:hAnsi="Times New Roman" w:eastAsia="宋体" w:cs="Times New Roman"/>
          <w:i w:val="0"/>
          <w:iCs/>
          <w:color w:val="auto"/>
          <w:sz w:val="21"/>
          <w:szCs w:val="21"/>
          <w:lang w:val="en-US" w:eastAsia="zh-CN"/>
        </w:rPr>
        <w:t>166</w:t>
      </w:r>
      <w:r>
        <w:rPr>
          <w:rFonts w:ascii="Times New Roman" w:hAnsi="Times New Roman" w:eastAsia="宋体" w:cs="Times New Roman"/>
          <w:i w:val="0"/>
          <w:iCs/>
          <w:color w:val="auto"/>
          <w:sz w:val="21"/>
          <w:szCs w:val="21"/>
        </w:rPr>
        <w:t>。经统计，随机实验结果的均值为</w:t>
      </w:r>
      <w:r>
        <w:rPr>
          <w:rFonts w:hint="eastAsia" w:ascii="Times New Roman" w:hAnsi="Times New Roman" w:eastAsia="宋体" w:cs="Times New Roman"/>
          <w:i w:val="0"/>
          <w:iCs/>
          <w:color w:val="auto"/>
          <w:sz w:val="21"/>
          <w:szCs w:val="21"/>
        </w:rPr>
        <w:t>0.00</w:t>
      </w:r>
      <w:r>
        <w:rPr>
          <w:rFonts w:hint="eastAsia" w:ascii="Times New Roman" w:hAnsi="Times New Roman" w:eastAsia="宋体" w:cs="Times New Roman"/>
          <w:i w:val="0"/>
          <w:iCs/>
          <w:color w:val="auto"/>
          <w:sz w:val="21"/>
          <w:szCs w:val="21"/>
          <w:lang w:val="en-US" w:eastAsia="zh-CN"/>
        </w:rPr>
        <w:t>3</w:t>
      </w:r>
      <w:r>
        <w:rPr>
          <w:rFonts w:ascii="Times New Roman" w:hAnsi="Times New Roman" w:eastAsia="宋体" w:cs="Times New Roman"/>
          <w:i w:val="0"/>
          <w:iCs/>
          <w:color w:val="auto"/>
          <w:sz w:val="21"/>
          <w:szCs w:val="21"/>
        </w:rPr>
        <w:t>，标准差为</w:t>
      </w:r>
      <w:r>
        <w:rPr>
          <w:rFonts w:hint="eastAsia" w:ascii="Times New Roman" w:hAnsi="Times New Roman" w:eastAsia="宋体" w:cs="Times New Roman"/>
          <w:i w:val="0"/>
          <w:iCs/>
          <w:color w:val="auto"/>
          <w:sz w:val="21"/>
          <w:szCs w:val="21"/>
        </w:rPr>
        <w:t>0.06</w:t>
      </w:r>
      <w:r>
        <w:rPr>
          <w:rFonts w:hint="eastAsia" w:ascii="Times New Roman" w:hAnsi="Times New Roman" w:eastAsia="宋体" w:cs="Times New Roman"/>
          <w:i w:val="0"/>
          <w:iCs/>
          <w:color w:val="auto"/>
          <w:sz w:val="21"/>
          <w:szCs w:val="21"/>
          <w:lang w:val="en-US" w:eastAsia="zh-CN"/>
        </w:rPr>
        <w:t>0</w:t>
      </w:r>
      <w:r>
        <w:rPr>
          <w:rFonts w:ascii="Times New Roman" w:hAnsi="Times New Roman" w:eastAsia="宋体" w:cs="Times New Roman"/>
          <w:i w:val="0"/>
          <w:iCs/>
          <w:color w:val="auto"/>
          <w:sz w:val="21"/>
          <w:szCs w:val="21"/>
        </w:rPr>
        <w:t>，系数均值趋于零，且整体呈正态分布，本文基准回归结果0.</w:t>
      </w:r>
      <w:r>
        <w:rPr>
          <w:rFonts w:hint="eastAsia" w:ascii="Times New Roman" w:hAnsi="Times New Roman" w:eastAsia="宋体" w:cs="Times New Roman"/>
          <w:i w:val="0"/>
          <w:iCs/>
          <w:color w:val="auto"/>
          <w:sz w:val="21"/>
          <w:szCs w:val="21"/>
        </w:rPr>
        <w:t>1</w:t>
      </w:r>
      <w:r>
        <w:rPr>
          <w:rFonts w:hint="eastAsia" w:ascii="Times New Roman" w:hAnsi="Times New Roman" w:eastAsia="宋体" w:cs="Times New Roman"/>
          <w:i w:val="0"/>
          <w:iCs/>
          <w:color w:val="auto"/>
          <w:sz w:val="21"/>
          <w:szCs w:val="21"/>
          <w:lang w:val="en-US" w:eastAsia="zh-CN"/>
        </w:rPr>
        <w:t>66</w:t>
      </w:r>
      <w:r>
        <w:rPr>
          <w:rFonts w:ascii="Times New Roman" w:hAnsi="Times New Roman" w:eastAsia="宋体" w:cs="Times New Roman"/>
          <w:i w:val="0"/>
          <w:iCs/>
          <w:color w:val="auto"/>
          <w:sz w:val="21"/>
          <w:szCs w:val="21"/>
        </w:rPr>
        <w:t>位于上述1000次回归系数95%的置信区间之外，表明负面清单制度</w:t>
      </w:r>
      <w:r>
        <w:rPr>
          <w:rFonts w:hint="eastAsia" w:ascii="Times New Roman" w:hAnsi="Times New Roman" w:eastAsia="宋体" w:cs="Times New Roman"/>
          <w:i w:val="0"/>
          <w:iCs/>
          <w:color w:val="auto"/>
          <w:sz w:val="21"/>
          <w:szCs w:val="21"/>
          <w:lang w:val="en-US" w:eastAsia="zh-CN"/>
        </w:rPr>
        <w:t>实行</w:t>
      </w:r>
      <w:r>
        <w:rPr>
          <w:rFonts w:ascii="Times New Roman" w:hAnsi="Times New Roman" w:eastAsia="宋体" w:cs="Times New Roman"/>
          <w:i w:val="0"/>
          <w:iCs/>
          <w:color w:val="auto"/>
          <w:sz w:val="21"/>
          <w:szCs w:val="21"/>
        </w:rPr>
        <w:t>的市场整合效应并非是由随机因素导致的。</w:t>
      </w:r>
    </w:p>
    <w:p w14:paraId="7337C202">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both"/>
        <w:textAlignment w:val="bottom"/>
        <w:rPr>
          <w:rFonts w:hint="default" w:ascii="Times New Roman" w:hAnsi="Times New Roman" w:eastAsia="楷体" w:cs="Times New Roman"/>
          <w:i w:val="0"/>
          <w:iCs w:val="0"/>
          <w:color w:val="auto"/>
          <w:sz w:val="18"/>
          <w:szCs w:val="18"/>
          <w:highlight w:val="none"/>
          <w:lang w:val="en-US" w:eastAsia="zh-CN"/>
        </w:rPr>
      </w:pPr>
    </w:p>
    <w:p w14:paraId="5A3D69D4">
      <w:pPr>
        <w:keepNext w:val="0"/>
        <w:keepLines w:val="0"/>
        <w:pageBreakBefore w:val="0"/>
        <w:widowControl/>
        <w:numPr>
          <w:ilvl w:val="0"/>
          <w:numId w:val="0"/>
        </w:numPr>
        <w:kinsoku/>
        <w:wordWrap/>
        <w:overflowPunct/>
        <w:topLinePunct w:val="0"/>
        <w:autoSpaceDE/>
        <w:autoSpaceDN/>
        <w:bidi w:val="0"/>
        <w:adjustRightInd/>
        <w:snapToGrid w:val="0"/>
        <w:spacing w:line="288" w:lineRule="auto"/>
        <w:ind w:leftChars="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color w:val="auto"/>
          <w:sz w:val="21"/>
          <w:szCs w:val="21"/>
          <w:highlight w:val="none"/>
          <w:lang w:val="en-US" w:eastAsia="zh-CN"/>
        </w:rPr>
        <w:t>（</w:t>
      </w:r>
      <w:r>
        <w:rPr>
          <w:rFonts w:hint="eastAsia" w:ascii="Times New Roman" w:hAnsi="Times New Roman" w:eastAsia="宋体" w:cs="Times New Roman"/>
          <w:i w:val="0"/>
          <w:iCs/>
          <w:color w:val="auto"/>
          <w:sz w:val="21"/>
          <w:szCs w:val="21"/>
          <w:highlight w:val="none"/>
          <w:lang w:val="en-US" w:eastAsia="zh-CN"/>
        </w:rPr>
        <w:t>二</w:t>
      </w:r>
      <w:bookmarkStart w:id="0" w:name="_GoBack"/>
      <w:bookmarkEnd w:id="0"/>
      <w:r>
        <w:rPr>
          <w:rFonts w:hint="default" w:ascii="Times New Roman" w:hAnsi="Times New Roman" w:eastAsia="宋体" w:cs="Times New Roman"/>
          <w:i w:val="0"/>
          <w:iCs/>
          <w:color w:val="auto"/>
          <w:sz w:val="21"/>
          <w:szCs w:val="21"/>
          <w:highlight w:val="none"/>
          <w:lang w:val="en-US" w:eastAsia="zh-CN"/>
        </w:rPr>
        <w:t>）相关指标的具体构建说明</w:t>
      </w:r>
    </w:p>
    <w:p w14:paraId="1F0DC921">
      <w:pPr>
        <w:keepNext w:val="0"/>
        <w:keepLines w:val="0"/>
        <w:pageBreakBefore w:val="0"/>
        <w:widowControl/>
        <w:numPr>
          <w:ilvl w:val="0"/>
          <w:numId w:val="1"/>
        </w:numPr>
        <w:kinsoku/>
        <w:wordWrap/>
        <w:overflowPunct/>
        <w:topLinePunct w:val="0"/>
        <w:autoSpaceDE/>
        <w:autoSpaceDN/>
        <w:bidi w:val="0"/>
        <w:adjustRightInd/>
        <w:snapToGrid w:val="0"/>
        <w:spacing w:line="288" w:lineRule="auto"/>
        <w:ind w:leftChars="0" w:firstLine="420" w:firstLineChars="20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异地企业进入指标：参照刘秉镰等（2022）度量新设立子公司数量的方法，剔除持股比例小于50%及持股不详的样本，仅保留控股样本，并将子公司注册年份设定为上市公司进入异地市场的时间，以此构建每年省对间新设立子公司数量指标，以地区i的企业进入地区j的企业数量为被解释变量，并对其取对数。</w:t>
      </w:r>
    </w:p>
    <w:p w14:paraId="0EC6F14F">
      <w:pPr>
        <w:keepNext w:val="0"/>
        <w:keepLines w:val="0"/>
        <w:pageBreakBefore w:val="0"/>
        <w:widowControl/>
        <w:numPr>
          <w:ilvl w:val="0"/>
          <w:numId w:val="1"/>
        </w:numPr>
        <w:kinsoku/>
        <w:wordWrap/>
        <w:overflowPunct/>
        <w:topLinePunct w:val="0"/>
        <w:autoSpaceDE/>
        <w:autoSpaceDN/>
        <w:bidi w:val="0"/>
        <w:adjustRightInd/>
        <w:snapToGrid w:val="0"/>
        <w:spacing w:line="288" w:lineRule="auto"/>
        <w:ind w:leftChars="0" w:firstLine="420" w:firstLineChars="20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地方保护干预能力分组变量设定：地方保护干预能力以财政分权指标衡量，财政分权程度越高，表明地方保护干预能力越强，其中，地方财政分权=地方政府人均财政支出/（中央人均财政支出+地区地方政府人均财政支出，本文以事前2015年地区j的财政分权指标高低将省际对等分为三组，分别进行回归。</w:t>
      </w:r>
    </w:p>
    <w:p w14:paraId="462072F9">
      <w:pPr>
        <w:keepNext w:val="0"/>
        <w:keepLines w:val="0"/>
        <w:pageBreakBefore w:val="0"/>
        <w:widowControl/>
        <w:numPr>
          <w:ilvl w:val="0"/>
          <w:numId w:val="1"/>
        </w:numPr>
        <w:kinsoku/>
        <w:wordWrap/>
        <w:overflowPunct/>
        <w:topLinePunct w:val="0"/>
        <w:autoSpaceDE/>
        <w:autoSpaceDN/>
        <w:bidi w:val="0"/>
        <w:adjustRightInd/>
        <w:snapToGrid w:val="0"/>
        <w:spacing w:line="288" w:lineRule="auto"/>
        <w:ind w:leftChars="0" w:firstLine="420" w:firstLineChars="20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地区资源错配指标：参照白俊红和刘宇英（2018）做法，分别构建资本要素与劳动要素的地区要素错配程度指标。若要素错配指数&gt;0，则表明资源配置过度，若要素错配指数&lt;0，则表明资源配置不足。参照已有文献做法，对资源错配指数取绝对值，因而，地区资源错配指数越大，则表明地区资源错配情况越为严重。</w:t>
      </w:r>
    </w:p>
    <w:p w14:paraId="79B2ABEB">
      <w:pPr>
        <w:keepNext w:val="0"/>
        <w:keepLines w:val="0"/>
        <w:pageBreakBefore w:val="0"/>
        <w:widowControl/>
        <w:numPr>
          <w:ilvl w:val="0"/>
          <w:numId w:val="1"/>
        </w:numPr>
        <w:kinsoku/>
        <w:wordWrap/>
        <w:overflowPunct/>
        <w:topLinePunct w:val="0"/>
        <w:autoSpaceDE/>
        <w:autoSpaceDN/>
        <w:bidi w:val="0"/>
        <w:adjustRightInd/>
        <w:snapToGrid w:val="0"/>
        <w:spacing w:line="288" w:lineRule="auto"/>
        <w:ind w:leftChars="0" w:firstLine="420" w:firstLineChars="20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地方专业化生产指标：参照张晖和吴伟豪（2023）、胡向婷和张璐（2005）做法，依据下式构建地区专业化指数：</w:t>
      </w:r>
    </w:p>
    <w:p w14:paraId="3FE0C364">
      <w:pPr>
        <w:keepNext w:val="0"/>
        <w:keepLines w:val="0"/>
        <w:pageBreakBefore w:val="0"/>
        <w:widowControl/>
        <w:numPr>
          <w:ilvl w:val="0"/>
          <w:numId w:val="0"/>
        </w:numPr>
        <w:kinsoku/>
        <w:wordWrap/>
        <w:overflowPunct/>
        <w:topLinePunct w:val="0"/>
        <w:autoSpaceDE/>
        <w:autoSpaceDN/>
        <w:bidi w:val="0"/>
        <w:adjustRightInd/>
        <w:snapToGrid w:val="0"/>
        <w:spacing w:line="288" w:lineRule="auto"/>
        <w:ind w:leftChars="200"/>
        <w:jc w:val="center"/>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color w:val="auto"/>
          <w:position w:val="-28"/>
          <w:sz w:val="21"/>
          <w:szCs w:val="21"/>
          <w:highlight w:val="none"/>
        </w:rPr>
        <w:object>
          <v:shape id="_x0000_i1026" o:spt="75" type="#_x0000_t75" style="height:32.55pt;width:87.0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14:paraId="2261C1BE">
      <w:pPr>
        <w:keepNext w:val="0"/>
        <w:keepLines w:val="0"/>
        <w:pageBreakBefore w:val="0"/>
        <w:widowControl/>
        <w:numPr>
          <w:ilvl w:val="0"/>
          <w:numId w:val="0"/>
        </w:numPr>
        <w:kinsoku/>
        <w:wordWrap/>
        <w:overflowPunct/>
        <w:topLinePunct w:val="0"/>
        <w:autoSpaceDE/>
        <w:autoSpaceDN/>
        <w:bidi w:val="0"/>
        <w:adjustRightInd/>
        <w:snapToGrid w:val="0"/>
        <w:spacing w:line="288" w:lineRule="auto"/>
        <w:ind w:firstLine="420" w:firstLineChars="20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其中，</w:t>
      </w:r>
      <m:oMath>
        <m:sSub>
          <m:sSubPr>
            <m:ctrlPr>
              <w:rPr>
                <w:rFonts w:hint="default" w:ascii="Cambria Math" w:hAnsi="Cambria Math" w:eastAsia="宋体" w:cs="Times New Roman"/>
                <w:iCs/>
                <w:color w:val="auto"/>
                <w:sz w:val="21"/>
                <w:szCs w:val="21"/>
                <w:highlight w:val="none"/>
              </w:rPr>
            </m:ctrlPr>
          </m:sSubPr>
          <m:e>
            <m:r>
              <m:rPr/>
              <w:rPr>
                <w:rFonts w:hint="default" w:ascii="Cambria Math" w:hAnsi="Cambria Math" w:eastAsia="宋体" w:cs="Times New Roman"/>
                <w:color w:val="auto"/>
                <w:sz w:val="21"/>
                <w:szCs w:val="21"/>
                <w:highlight w:val="none"/>
              </w:rPr>
              <m:t>q</m:t>
            </m:r>
            <m:ctrlPr>
              <w:rPr>
                <w:rFonts w:hint="default" w:ascii="Cambria Math" w:hAnsi="Cambria Math" w:eastAsia="宋体" w:cs="Times New Roman"/>
                <w:iCs/>
                <w:color w:val="auto"/>
                <w:sz w:val="21"/>
                <w:szCs w:val="21"/>
                <w:highlight w:val="none"/>
              </w:rPr>
            </m:ctrlPr>
          </m:e>
          <m:sub>
            <m:r>
              <m:rPr/>
              <w:rPr>
                <w:rFonts w:hint="default" w:ascii="Cambria Math" w:hAnsi="Cambria Math" w:eastAsia="宋体" w:cs="Times New Roman"/>
                <w:color w:val="auto"/>
                <w:sz w:val="21"/>
                <w:szCs w:val="21"/>
                <w:highlight w:val="none"/>
              </w:rPr>
              <m:t>ik</m:t>
            </m:r>
            <m:ctrlPr>
              <w:rPr>
                <w:rFonts w:hint="default" w:ascii="Cambria Math" w:hAnsi="Cambria Math" w:eastAsia="宋体" w:cs="Times New Roman"/>
                <w:iCs/>
                <w:color w:val="auto"/>
                <w:sz w:val="21"/>
                <w:szCs w:val="21"/>
                <w:highlight w:val="none"/>
              </w:rPr>
            </m:ctrlPr>
          </m:sub>
        </m:sSub>
      </m:oMath>
      <w:r>
        <w:rPr>
          <w:rFonts w:hint="default" w:ascii="Times New Roman" w:hAnsi="Times New Roman" w:eastAsia="宋体" w:cs="Times New Roman"/>
          <w:i w:val="0"/>
          <w:iCs/>
          <w:color w:val="auto"/>
          <w:sz w:val="21"/>
          <w:szCs w:val="21"/>
          <w:highlight w:val="none"/>
        </w:rPr>
        <w:t>、</w:t>
      </w:r>
      <m:oMath>
        <m:sSub>
          <m:sSubPr>
            <m:ctrlPr>
              <w:rPr>
                <w:rFonts w:hint="default" w:ascii="Cambria Math" w:hAnsi="Cambria Math" w:eastAsia="宋体" w:cs="Times New Roman"/>
                <w:iCs/>
                <w:color w:val="auto"/>
                <w:sz w:val="21"/>
                <w:szCs w:val="21"/>
                <w:highlight w:val="none"/>
              </w:rPr>
            </m:ctrlPr>
          </m:sSubPr>
          <m:e>
            <m:r>
              <m:rPr/>
              <w:rPr>
                <w:rFonts w:hint="default" w:ascii="Cambria Math" w:hAnsi="Cambria Math" w:eastAsia="宋体" w:cs="Times New Roman"/>
                <w:color w:val="auto"/>
                <w:sz w:val="21"/>
                <w:szCs w:val="21"/>
                <w:highlight w:val="none"/>
              </w:rPr>
              <m:t>q</m:t>
            </m:r>
            <m:ctrlPr>
              <w:rPr>
                <w:rFonts w:hint="default" w:ascii="Cambria Math" w:hAnsi="Cambria Math" w:eastAsia="宋体" w:cs="Times New Roman"/>
                <w:iCs/>
                <w:color w:val="auto"/>
                <w:sz w:val="21"/>
                <w:szCs w:val="21"/>
                <w:highlight w:val="none"/>
              </w:rPr>
            </m:ctrlPr>
          </m:e>
          <m:sub>
            <m:r>
              <m:rPr/>
              <w:rPr>
                <w:rFonts w:hint="default" w:ascii="Cambria Math" w:hAnsi="Cambria Math" w:eastAsia="宋体" w:cs="Times New Roman"/>
                <w:color w:val="auto"/>
                <w:sz w:val="21"/>
                <w:szCs w:val="21"/>
                <w:highlight w:val="none"/>
              </w:rPr>
              <m:t>jk</m:t>
            </m:r>
            <m:ctrlPr>
              <w:rPr>
                <w:rFonts w:hint="default" w:ascii="Cambria Math" w:hAnsi="Cambria Math" w:eastAsia="宋体" w:cs="Times New Roman"/>
                <w:iCs/>
                <w:color w:val="auto"/>
                <w:sz w:val="21"/>
                <w:szCs w:val="21"/>
                <w:highlight w:val="none"/>
              </w:rPr>
            </m:ctrlPr>
          </m:sub>
        </m:sSub>
      </m:oMath>
      <w:r>
        <w:rPr>
          <w:rFonts w:hint="default" w:ascii="Times New Roman" w:hAnsi="Times New Roman" w:eastAsia="宋体" w:cs="Times New Roman"/>
          <w:i w:val="0"/>
          <w:iCs w:val="0"/>
          <w:color w:val="auto"/>
          <w:sz w:val="21"/>
          <w:szCs w:val="21"/>
          <w:highlight w:val="none"/>
          <w:lang w:val="en-US" w:eastAsia="zh-CN"/>
        </w:rPr>
        <w:t>分别表示i、j两地k行业生产总值，</w:t>
      </w:r>
      <m:oMath>
        <m:sSub>
          <m:sSubPr>
            <m:ctrlPr>
              <w:rPr>
                <w:rFonts w:hint="default" w:ascii="Cambria Math" w:hAnsi="Cambria Math" w:eastAsia="宋体" w:cs="Times New Roman"/>
                <w:iCs/>
                <w:color w:val="auto"/>
                <w:sz w:val="21"/>
                <w:szCs w:val="21"/>
                <w:highlight w:val="none"/>
              </w:rPr>
            </m:ctrlPr>
          </m:sSubPr>
          <m:e>
            <m:r>
              <m:rPr/>
              <w:rPr>
                <w:rFonts w:hint="default" w:ascii="Cambria Math" w:hAnsi="Cambria Math" w:eastAsia="宋体" w:cs="Times New Roman"/>
                <w:color w:val="auto"/>
                <w:sz w:val="21"/>
                <w:szCs w:val="21"/>
                <w:highlight w:val="none"/>
              </w:rPr>
              <m:t>q</m:t>
            </m:r>
            <m:ctrlPr>
              <w:rPr>
                <w:rFonts w:hint="default" w:ascii="Cambria Math" w:hAnsi="Cambria Math" w:eastAsia="宋体" w:cs="Times New Roman"/>
                <w:iCs/>
                <w:color w:val="auto"/>
                <w:sz w:val="21"/>
                <w:szCs w:val="21"/>
                <w:highlight w:val="none"/>
              </w:rPr>
            </m:ctrlPr>
          </m:e>
          <m:sub>
            <m:r>
              <m:rPr/>
              <w:rPr>
                <w:rFonts w:hint="default" w:ascii="Cambria Math" w:hAnsi="Cambria Math" w:eastAsia="宋体" w:cs="Times New Roman"/>
                <w:color w:val="auto"/>
                <w:sz w:val="21"/>
                <w:szCs w:val="21"/>
                <w:highlight w:val="none"/>
              </w:rPr>
              <m:t>i</m:t>
            </m:r>
            <m:ctrlPr>
              <w:rPr>
                <w:rFonts w:hint="default" w:ascii="Cambria Math" w:hAnsi="Cambria Math" w:eastAsia="宋体" w:cs="Times New Roman"/>
                <w:iCs/>
                <w:color w:val="auto"/>
                <w:sz w:val="21"/>
                <w:szCs w:val="21"/>
                <w:highlight w:val="none"/>
              </w:rPr>
            </m:ctrlPr>
          </m:sub>
        </m:sSub>
      </m:oMath>
      <w:r>
        <w:rPr>
          <w:rFonts w:hint="default" w:ascii="Times New Roman" w:hAnsi="Times New Roman" w:eastAsia="宋体" w:cs="Times New Roman"/>
          <w:i w:val="0"/>
          <w:iCs/>
          <w:color w:val="auto"/>
          <w:sz w:val="21"/>
          <w:szCs w:val="21"/>
          <w:highlight w:val="none"/>
        </w:rPr>
        <w:t>、</w:t>
      </w:r>
      <m:oMath>
        <m:sSub>
          <m:sSubPr>
            <m:ctrlPr>
              <w:rPr>
                <w:rFonts w:hint="default" w:ascii="Cambria Math" w:hAnsi="Cambria Math" w:eastAsia="宋体" w:cs="Times New Roman"/>
                <w:iCs/>
                <w:color w:val="auto"/>
                <w:sz w:val="21"/>
                <w:szCs w:val="21"/>
                <w:highlight w:val="none"/>
              </w:rPr>
            </m:ctrlPr>
          </m:sSubPr>
          <m:e>
            <m:r>
              <m:rPr/>
              <w:rPr>
                <w:rFonts w:hint="default" w:ascii="Cambria Math" w:hAnsi="Cambria Math" w:eastAsia="宋体" w:cs="Times New Roman"/>
                <w:color w:val="auto"/>
                <w:sz w:val="21"/>
                <w:szCs w:val="21"/>
                <w:highlight w:val="none"/>
              </w:rPr>
              <m:t>q</m:t>
            </m:r>
            <m:ctrlPr>
              <w:rPr>
                <w:rFonts w:hint="default" w:ascii="Cambria Math" w:hAnsi="Cambria Math" w:eastAsia="宋体" w:cs="Times New Roman"/>
                <w:iCs/>
                <w:color w:val="auto"/>
                <w:sz w:val="21"/>
                <w:szCs w:val="21"/>
                <w:highlight w:val="none"/>
              </w:rPr>
            </m:ctrlPr>
          </m:e>
          <m:sub>
            <m:r>
              <m:rPr/>
              <w:rPr>
                <w:rFonts w:hint="default" w:ascii="Cambria Math" w:hAnsi="Cambria Math" w:eastAsia="宋体" w:cs="Times New Roman"/>
                <w:color w:val="auto"/>
                <w:sz w:val="21"/>
                <w:szCs w:val="21"/>
                <w:highlight w:val="none"/>
              </w:rPr>
              <m:t>j</m:t>
            </m:r>
            <m:ctrlPr>
              <w:rPr>
                <w:rFonts w:hint="default" w:ascii="Cambria Math" w:hAnsi="Cambria Math" w:eastAsia="宋体" w:cs="Times New Roman"/>
                <w:iCs/>
                <w:color w:val="auto"/>
                <w:sz w:val="21"/>
                <w:szCs w:val="21"/>
                <w:highlight w:val="none"/>
              </w:rPr>
            </m:ctrlPr>
          </m:sub>
        </m:sSub>
      </m:oMath>
      <w:r>
        <w:rPr>
          <w:rFonts w:hint="default" w:ascii="Times New Roman" w:hAnsi="Times New Roman" w:eastAsia="宋体" w:cs="Times New Roman"/>
          <w:i w:val="0"/>
          <w:iCs w:val="0"/>
          <w:color w:val="auto"/>
          <w:sz w:val="21"/>
          <w:szCs w:val="21"/>
          <w:highlight w:val="none"/>
          <w:lang w:val="en-US" w:eastAsia="zh-CN"/>
        </w:rPr>
        <w:t>分别为i、j两地地区生产总值。地区专业化生产指数表征i地区与j地区间生产结构的差异性，该指数介于0-2之间，指数越大表明地区间产业结构差异越大，地区间生产结构互补性越强；反之，地区间生产结构越相似。本文采用两种行业划分标准对指数进行了测算，首先，测算地区间三大产业间结构差异，其次，进一步将第二、三产业细化分解为八大行业，再次进行测算。</w:t>
      </w:r>
    </w:p>
    <w:p w14:paraId="09D58354">
      <w:pPr>
        <w:keepNext w:val="0"/>
        <w:keepLines w:val="0"/>
        <w:pageBreakBefore w:val="0"/>
        <w:widowControl/>
        <w:numPr>
          <w:ilvl w:val="0"/>
          <w:numId w:val="1"/>
        </w:numPr>
        <w:kinsoku/>
        <w:wordWrap/>
        <w:overflowPunct/>
        <w:topLinePunct w:val="0"/>
        <w:autoSpaceDE/>
        <w:autoSpaceDN/>
        <w:bidi w:val="0"/>
        <w:adjustRightInd/>
        <w:snapToGrid w:val="0"/>
        <w:spacing w:line="288" w:lineRule="auto"/>
        <w:ind w:left="0" w:leftChars="0" w:firstLine="420" w:firstLineChars="20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拓展分析变量定义说明：</w:t>
      </w:r>
    </w:p>
    <w:p w14:paraId="21D20AE9">
      <w:pPr>
        <w:keepNext w:val="0"/>
        <w:keepLines w:val="0"/>
        <w:pageBreakBefore w:val="0"/>
        <w:widowControl/>
        <w:numPr>
          <w:ilvl w:val="0"/>
          <w:numId w:val="0"/>
        </w:numPr>
        <w:kinsoku/>
        <w:wordWrap/>
        <w:overflowPunct/>
        <w:topLinePunct w:val="0"/>
        <w:autoSpaceDE/>
        <w:autoSpaceDN/>
        <w:bidi w:val="0"/>
        <w:adjustRightInd/>
        <w:snapToGrid w:val="0"/>
        <w:spacing w:line="288" w:lineRule="auto"/>
        <w:ind w:firstLine="420" w:firstLineChars="200"/>
        <w:jc w:val="both"/>
        <w:textAlignment w:val="bottom"/>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地理阻隔与制度型开放下的市场整合：依据省际间空间距离指标对省际对组别进行划分，分别进行回归。特别地，为排除事后年份期间交通基础设施建设的同步发展对识别制度型开放市场整合效应的混淆，本文被解释变量以排除基础设施发展因素后的市场分割残差项指标代替，该指标的测算步骤参照曹春方等（2017）方法获得：①以市场整合指数为被解释变量对基础设施水平指标进行回归，并得到其残差，则该残差即是排除基础设施建设因素对市场整合的促进效应后的市场整合水平</w:t>
      </w:r>
      <w:r>
        <w:rPr>
          <w:rFonts w:hint="eastAsia" w:ascii="Times New Roman" w:hAnsi="Times New Roman" w:eastAsia="宋体" w:cs="Times New Roman"/>
          <w:i w:val="0"/>
          <w:iCs w:val="0"/>
          <w:color w:val="auto"/>
          <w:sz w:val="21"/>
          <w:szCs w:val="21"/>
          <w:highlight w:val="none"/>
          <w:lang w:val="en-US" w:eastAsia="zh-CN"/>
        </w:rPr>
        <w:t>；</w:t>
      </w:r>
      <w:r>
        <w:rPr>
          <w:rFonts w:hint="default" w:ascii="Times New Roman" w:hAnsi="Times New Roman" w:eastAsia="宋体" w:cs="Times New Roman"/>
          <w:i w:val="0"/>
          <w:iCs w:val="0"/>
          <w:color w:val="auto"/>
          <w:sz w:val="21"/>
          <w:szCs w:val="21"/>
          <w:highlight w:val="none"/>
          <w:lang w:val="en-US" w:eastAsia="zh-CN"/>
        </w:rPr>
        <w:t>②以该指标替代原被解释变量进行回归，从而避免交通条件的改善因素对本文回归结果的混淆。</w:t>
      </w:r>
    </w:p>
    <w:p w14:paraId="6BA910BB">
      <w:pPr>
        <w:keepNext w:val="0"/>
        <w:keepLines w:val="0"/>
        <w:pageBreakBefore w:val="0"/>
        <w:kinsoku/>
        <w:wordWrap/>
        <w:overflowPunct/>
        <w:topLinePunct w:val="0"/>
        <w:autoSpaceDE/>
        <w:autoSpaceDN/>
        <w:bidi w:val="0"/>
        <w:adjustRightInd/>
        <w:spacing w:line="288" w:lineRule="auto"/>
        <w:rPr>
          <w:rFonts w:hint="eastAsia"/>
        </w:rPr>
      </w:pPr>
    </w:p>
    <w:sectPr>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64B08EB8">
      <w:pPr>
        <w:snapToGrid w:val="0"/>
        <w:spacing w:line="300" w:lineRule="auto"/>
        <w:ind w:firstLine="360" w:firstLineChars="200"/>
        <w:jc w:val="left"/>
        <w:textAlignment w:val="bottom"/>
        <w:rPr>
          <w:rFonts w:ascii="Cambria Math" w:hAnsi="Cambria Math" w:eastAsia="宋体" w:cs="Times New Roman"/>
          <w:i w:val="0"/>
          <w:iCs/>
          <w:kern w:val="2"/>
          <w:sz w:val="18"/>
          <w:szCs w:val="18"/>
          <w:lang w:val="en-US" w:eastAsia="zh-CN" w:bidi="ar-SA"/>
        </w:rPr>
      </w:pPr>
      <w:r>
        <w:rPr>
          <w:rFonts w:hint="eastAsia" w:ascii="宋体" w:hAnsi="宋体" w:eastAsia="宋体" w:cs="宋体"/>
          <w:i w:val="0"/>
          <w:iCs/>
          <w:kern w:val="2"/>
          <w:sz w:val="18"/>
          <w:szCs w:val="18"/>
          <w:vertAlign w:val="baseline"/>
          <w:lang w:val="en-US" w:eastAsia="zh-CN" w:bidi="ar-SA"/>
        </w:rPr>
        <w:footnoteRef/>
      </w:r>
      <w:r>
        <w:rPr>
          <w:rFonts w:hint="eastAsia" w:ascii="宋体" w:hAnsi="宋体" w:eastAsia="宋体" w:cs="宋体"/>
          <w:i w:val="0"/>
          <w:iCs/>
          <w:kern w:val="2"/>
          <w:sz w:val="18"/>
          <w:szCs w:val="18"/>
          <w:vertAlign w:val="baseline"/>
          <w:lang w:val="en-US" w:eastAsia="zh-CN" w:bidi="ar-SA"/>
        </w:rPr>
        <w:t xml:space="preserve"> </w:t>
      </w:r>
      <w:r>
        <w:rPr>
          <w:rFonts w:hint="eastAsia" w:ascii="Cambria Math" w:hAnsi="Cambria Math" w:eastAsia="宋体" w:cs="Times New Roman"/>
          <w:i w:val="0"/>
          <w:iCs/>
          <w:kern w:val="2"/>
          <w:sz w:val="18"/>
          <w:szCs w:val="18"/>
          <w:lang w:val="en-US" w:eastAsia="zh-CN" w:bidi="ar-SA"/>
        </w:rPr>
        <w:t>感谢评审专家提出的宝贵意见。</w:t>
      </w:r>
    </w:p>
  </w:footnote>
  <w:footnote w:id="1">
    <w:p w14:paraId="5D6F4B05">
      <w:pPr>
        <w:snapToGrid w:val="0"/>
        <w:spacing w:line="300" w:lineRule="auto"/>
        <w:ind w:firstLine="360" w:firstLineChars="200"/>
        <w:jc w:val="left"/>
        <w:textAlignment w:val="bottom"/>
        <w:rPr>
          <w:rFonts w:ascii="Cambria Math" w:hAnsi="Cambria Math" w:eastAsia="宋体" w:cs="Times New Roman"/>
          <w:i w:val="0"/>
          <w:iCs/>
          <w:kern w:val="2"/>
          <w:sz w:val="18"/>
          <w:szCs w:val="18"/>
          <w:lang w:val="en-US" w:eastAsia="zh-CN" w:bidi="ar-SA"/>
        </w:rPr>
      </w:pPr>
      <w:r>
        <w:rPr>
          <w:rFonts w:hint="eastAsia" w:ascii="宋体" w:hAnsi="宋体" w:eastAsia="宋体" w:cs="宋体"/>
          <w:i w:val="0"/>
          <w:iCs/>
          <w:kern w:val="2"/>
          <w:sz w:val="18"/>
          <w:szCs w:val="18"/>
          <w:vertAlign w:val="baseline"/>
          <w:lang w:val="en-US" w:eastAsia="zh-CN" w:bidi="ar-SA"/>
        </w:rPr>
        <w:footnoteRef/>
      </w:r>
      <w:r>
        <w:rPr>
          <w:rFonts w:hint="eastAsia" w:ascii="宋体" w:hAnsi="宋体" w:eastAsia="宋体" w:cs="宋体"/>
          <w:i w:val="0"/>
          <w:iCs/>
          <w:kern w:val="2"/>
          <w:sz w:val="18"/>
          <w:szCs w:val="18"/>
          <w:vertAlign w:val="baseline"/>
          <w:lang w:val="en-US" w:eastAsia="zh-CN" w:bidi="ar-SA"/>
        </w:rPr>
        <w:t xml:space="preserve"> 值</w:t>
      </w:r>
      <w:r>
        <w:rPr>
          <w:rFonts w:hint="eastAsia" w:ascii="Cambria Math" w:hAnsi="Cambria Math" w:eastAsia="宋体" w:cs="Times New Roman"/>
          <w:i w:val="0"/>
          <w:iCs/>
          <w:kern w:val="2"/>
          <w:sz w:val="18"/>
          <w:szCs w:val="18"/>
          <w:lang w:val="en-US" w:eastAsia="zh-CN" w:bidi="ar-SA"/>
        </w:rPr>
        <w:t>得注意的是，该定义方式使得省际对间样本存在重复，</w:t>
      </w:r>
      <w:r>
        <w:rPr>
          <w:rFonts w:ascii="Times New Roman" w:hAnsi="Times New Roman" w:eastAsia="宋体" w:cs="Times New Roman"/>
          <w:i w:val="0"/>
          <w:iCs/>
          <w:kern w:val="2"/>
          <w:sz w:val="18"/>
          <w:szCs w:val="18"/>
          <w:lang w:val="en-US" w:eastAsia="zh-CN" w:bidi="ar-SA"/>
        </w:rPr>
        <w:t>如：省际对“北京市</w:t>
      </w:r>
      <w:r>
        <w:rPr>
          <w:rFonts w:hint="eastAsia" w:ascii="Times New Roman" w:hAnsi="Times New Roman" w:eastAsia="宋体" w:cs="Times New Roman"/>
          <w:i w:val="0"/>
          <w:iCs/>
          <w:kern w:val="2"/>
          <w:sz w:val="18"/>
          <w:szCs w:val="18"/>
          <w:lang w:val="en-US" w:eastAsia="zh-CN" w:bidi="ar-SA"/>
        </w:rPr>
        <w:t>-</w:t>
      </w:r>
      <w:r>
        <w:rPr>
          <w:rFonts w:ascii="Times New Roman" w:hAnsi="Times New Roman" w:eastAsia="宋体" w:cs="Times New Roman"/>
          <w:i w:val="0"/>
          <w:iCs/>
          <w:kern w:val="2"/>
          <w:sz w:val="18"/>
          <w:szCs w:val="18"/>
          <w:lang w:val="en-US" w:eastAsia="zh-CN" w:bidi="ar-SA"/>
        </w:rPr>
        <w:t>上海市”与省际对“上海市</w:t>
      </w:r>
      <w:r>
        <w:rPr>
          <w:rFonts w:hint="eastAsia" w:ascii="Times New Roman" w:hAnsi="Times New Roman" w:eastAsia="宋体" w:cs="Times New Roman"/>
          <w:i w:val="0"/>
          <w:iCs/>
          <w:kern w:val="2"/>
          <w:sz w:val="18"/>
          <w:szCs w:val="18"/>
          <w:lang w:val="en-US" w:eastAsia="zh-CN" w:bidi="ar-SA"/>
        </w:rPr>
        <w:t>-</w:t>
      </w:r>
      <w:r>
        <w:rPr>
          <w:rFonts w:ascii="Times New Roman" w:hAnsi="Times New Roman" w:eastAsia="宋体" w:cs="Times New Roman"/>
          <w:i w:val="0"/>
          <w:iCs/>
          <w:kern w:val="2"/>
          <w:sz w:val="18"/>
          <w:szCs w:val="18"/>
          <w:lang w:val="en-US" w:eastAsia="zh-CN" w:bidi="ar-SA"/>
        </w:rPr>
        <w:t>北京市”即为重复省际对，</w:t>
      </w:r>
      <w:r>
        <w:rPr>
          <w:rFonts w:hint="eastAsia" w:ascii="Times New Roman" w:hAnsi="Times New Roman" w:eastAsia="宋体" w:cs="Times New Roman"/>
          <w:i w:val="0"/>
          <w:iCs/>
          <w:kern w:val="2"/>
          <w:sz w:val="18"/>
          <w:szCs w:val="18"/>
          <w:lang w:val="en-US" w:eastAsia="zh-CN" w:bidi="ar-SA"/>
        </w:rPr>
        <w:t>因而，</w:t>
      </w:r>
      <w:r>
        <w:rPr>
          <w:rFonts w:ascii="Times New Roman" w:hAnsi="Times New Roman" w:eastAsia="宋体" w:cs="Times New Roman"/>
          <w:i w:val="0"/>
          <w:iCs/>
          <w:kern w:val="2"/>
          <w:sz w:val="18"/>
          <w:szCs w:val="18"/>
          <w:lang w:val="en-US" w:eastAsia="zh-CN" w:bidi="ar-SA"/>
        </w:rPr>
        <w:t>我们剔除了类似重复省际对，导致样本量</w:t>
      </w:r>
      <w:r>
        <w:rPr>
          <w:rFonts w:hint="eastAsia" w:ascii="Times New Roman" w:hAnsi="Times New Roman" w:eastAsia="宋体" w:cs="Times New Roman"/>
          <w:i w:val="0"/>
          <w:iCs/>
          <w:kern w:val="2"/>
          <w:sz w:val="18"/>
          <w:szCs w:val="18"/>
          <w:lang w:val="en-US" w:eastAsia="zh-CN" w:bidi="ar-SA"/>
        </w:rPr>
        <w:t>减半</w:t>
      </w:r>
      <w:r>
        <w:rPr>
          <w:rFonts w:ascii="Times New Roman" w:hAnsi="Times New Roman" w:eastAsia="宋体" w:cs="Times New Roman"/>
          <w:i w:val="0"/>
          <w:iCs/>
          <w:kern w:val="2"/>
          <w:sz w:val="18"/>
          <w:szCs w:val="18"/>
          <w:lang w:val="en-US" w:eastAsia="zh-CN" w:bidi="ar-SA"/>
        </w:rPr>
        <w:t>。</w:t>
      </w:r>
    </w:p>
  </w:footnote>
  <w:footnote w:id="2">
    <w:p w14:paraId="40ED01A3">
      <w:pPr>
        <w:pStyle w:val="5"/>
        <w:keepNext w:val="0"/>
        <w:keepLines w:val="0"/>
        <w:pageBreakBefore w:val="0"/>
        <w:widowControl w:val="0"/>
        <w:kinsoku/>
        <w:wordWrap/>
        <w:overflowPunct/>
        <w:topLinePunct w:val="0"/>
        <w:bidi w:val="0"/>
        <w:adjustRightInd/>
        <w:snapToGrid w:val="0"/>
        <w:ind w:firstLine="360" w:firstLineChars="200"/>
        <w:jc w:val="both"/>
        <w:textAlignment w:val="auto"/>
        <w:rPr>
          <w:rFonts w:hint="eastAsia" w:ascii="宋体" w:hAnsi="宋体" w:eastAsia="宋体" w:cs="宋体"/>
        </w:rPr>
      </w:pPr>
      <w:r>
        <w:rPr>
          <w:rFonts w:hint="eastAsia" w:ascii="宋体" w:hAnsi="宋体" w:eastAsia="宋体" w:cs="宋体"/>
          <w:i w:val="0"/>
          <w:iCs/>
          <w:vertAlign w:val="baseline"/>
        </w:rPr>
        <w:footnoteRef/>
      </w:r>
      <w:r>
        <w:rPr>
          <w:rFonts w:hint="eastAsia" w:ascii="宋体" w:hAnsi="宋体" w:eastAsia="宋体" w:cs="宋体"/>
          <w:i w:val="0"/>
          <w:iCs/>
          <w:kern w:val="2"/>
          <w:sz w:val="18"/>
          <w:szCs w:val="18"/>
          <w:vertAlign w:val="baseline"/>
          <w:lang w:val="en-US" w:eastAsia="zh-CN" w:bidi="ar-SA"/>
        </w:rPr>
        <w:t xml:space="preserve"> </w:t>
      </w:r>
      <w:r>
        <w:rPr>
          <w:rFonts w:hint="eastAsia" w:ascii="宋体" w:hAnsi="宋体" w:eastAsia="宋体" w:cs="宋体"/>
        </w:rPr>
        <w:t>赵静梅,李钰琪,钟浩.数字经济、省际贸易成本与全国统一大市场[J].经济学家,2023(05):89-99.</w:t>
      </w:r>
    </w:p>
  </w:footnote>
  <w:footnote w:id="3">
    <w:p w14:paraId="57294C96">
      <w:pPr>
        <w:pStyle w:val="5"/>
        <w:keepNext w:val="0"/>
        <w:keepLines w:val="0"/>
        <w:pageBreakBefore w:val="0"/>
        <w:widowControl w:val="0"/>
        <w:kinsoku/>
        <w:wordWrap/>
        <w:overflowPunct/>
        <w:topLinePunct w:val="0"/>
        <w:bidi w:val="0"/>
        <w:adjustRightInd/>
        <w:snapToGrid w:val="0"/>
        <w:ind w:firstLine="360" w:firstLineChars="200"/>
        <w:jc w:val="both"/>
        <w:textAlignment w:val="auto"/>
        <w:rPr>
          <w:rFonts w:hint="eastAsia" w:ascii="宋体" w:hAnsi="宋体" w:eastAsia="宋体" w:cs="宋体"/>
        </w:rPr>
      </w:pPr>
      <w:r>
        <w:rPr>
          <w:rFonts w:hint="eastAsia" w:ascii="宋体" w:hAnsi="宋体" w:eastAsia="宋体" w:cs="宋体"/>
          <w:i w:val="0"/>
          <w:iCs/>
          <w:kern w:val="2"/>
          <w:sz w:val="18"/>
          <w:szCs w:val="18"/>
          <w:vertAlign w:val="baseline"/>
          <w:lang w:val="en-US" w:eastAsia="zh-CN" w:bidi="ar-SA"/>
        </w:rPr>
        <w:footnoteRef/>
      </w:r>
      <w:r>
        <w:rPr>
          <w:rFonts w:hint="eastAsia" w:ascii="宋体" w:hAnsi="宋体" w:eastAsia="宋体" w:cs="宋体"/>
          <w:i w:val="0"/>
          <w:iCs/>
          <w:kern w:val="2"/>
          <w:sz w:val="18"/>
          <w:szCs w:val="18"/>
          <w:vertAlign w:val="baseline"/>
          <w:lang w:val="en-US" w:eastAsia="zh-CN" w:bidi="ar-SA"/>
        </w:rPr>
        <w:t xml:space="preserve"> </w:t>
      </w:r>
      <w:r>
        <w:rPr>
          <w:rFonts w:hint="eastAsia" w:ascii="宋体" w:hAnsi="宋体" w:eastAsia="宋体" w:cs="宋体"/>
        </w:rPr>
        <w:t>罗知,万广华,张勋,李敬.兼顾效率与公平的城镇化：理论模型与中国实证[J].经济研究,2018,53(07):89-105.</w:t>
      </w:r>
    </w:p>
  </w:footnote>
  <w:footnote w:id="4">
    <w:p w14:paraId="0B051175">
      <w:pPr>
        <w:pStyle w:val="5"/>
        <w:keepNext w:val="0"/>
        <w:keepLines w:val="0"/>
        <w:pageBreakBefore w:val="0"/>
        <w:widowControl w:val="0"/>
        <w:kinsoku/>
        <w:wordWrap/>
        <w:overflowPunct/>
        <w:topLinePunct w:val="0"/>
        <w:bidi w:val="0"/>
        <w:adjustRightInd/>
        <w:snapToGrid w:val="0"/>
        <w:ind w:firstLine="360" w:firstLineChars="200"/>
        <w:jc w:val="both"/>
        <w:textAlignment w:val="auto"/>
      </w:pPr>
      <w:r>
        <w:rPr>
          <w:rStyle w:val="9"/>
          <w:rFonts w:hint="eastAsia" w:ascii="宋体" w:hAnsi="宋体" w:eastAsia="宋体" w:cs="宋体"/>
          <w:vertAlign w:val="baseline"/>
        </w:rPr>
        <w:footnoteRef/>
      </w:r>
      <w:r>
        <w:rPr>
          <w:rFonts w:hint="eastAsia" w:ascii="宋体" w:hAnsi="宋体" w:eastAsia="宋体" w:cs="宋体"/>
          <w:vertAlign w:val="baseline"/>
        </w:rPr>
        <w:t xml:space="preserve"> 赵</w:t>
      </w:r>
      <w:r>
        <w:rPr>
          <w:rFonts w:hint="eastAsia" w:ascii="宋体" w:hAnsi="宋体" w:eastAsia="宋体" w:cs="宋体"/>
        </w:rPr>
        <w:t>涛,张智,梁上坤.数字经济、创业活跃度与高质量发展——来自中国城市的经验证据[J].管理世界,2020,36(10):65-76.</w:t>
      </w:r>
    </w:p>
  </w:footnote>
  <w:footnote w:id="5">
    <w:p w14:paraId="47EAB826">
      <w:pPr>
        <w:widowControl/>
        <w:snapToGrid w:val="0"/>
        <w:spacing w:line="300" w:lineRule="auto"/>
        <w:ind w:firstLine="360" w:firstLineChars="200"/>
        <w:jc w:val="left"/>
        <w:textAlignment w:val="bottom"/>
        <w:rPr>
          <w:rFonts w:ascii="Cambria Math" w:hAnsi="Cambria Math" w:eastAsia="宋体" w:cs="Times New Roman"/>
          <w:i w:val="0"/>
          <w:iCs/>
          <w:sz w:val="18"/>
          <w:szCs w:val="18"/>
        </w:rPr>
      </w:pPr>
      <w:r>
        <w:rPr>
          <w:rFonts w:hint="eastAsia" w:ascii="宋体" w:hAnsi="宋体" w:eastAsia="宋体" w:cs="宋体"/>
          <w:i w:val="0"/>
          <w:iCs/>
          <w:sz w:val="18"/>
          <w:szCs w:val="18"/>
          <w:vertAlign w:val="baseline"/>
        </w:rPr>
        <w:footnoteRef/>
      </w:r>
      <w:r>
        <w:rPr>
          <w:rFonts w:hint="eastAsia" w:ascii="宋体" w:hAnsi="宋体" w:eastAsia="宋体" w:cs="宋体"/>
          <w:i w:val="0"/>
          <w:iCs/>
          <w:sz w:val="18"/>
          <w:szCs w:val="18"/>
          <w:vertAlign w:val="baseline"/>
        </w:rPr>
        <w:t xml:space="preserve"> 由</w:t>
      </w:r>
      <w:r>
        <w:rPr>
          <w:rFonts w:ascii="Times New Roman" w:hAnsi="Times New Roman" w:eastAsia="宋体" w:cs="Times New Roman"/>
          <w:i w:val="0"/>
          <w:iCs/>
          <w:sz w:val="18"/>
          <w:szCs w:val="18"/>
        </w:rPr>
        <w:t>于缺乏2010年</w:t>
      </w:r>
      <w:r>
        <w:rPr>
          <w:rFonts w:ascii="Times New Roman" w:hAnsi="Times New Roman" w:eastAsia="宋体" w:cs="Times New Roman"/>
          <w:i w:val="0"/>
          <w:iCs/>
          <w:kern w:val="0"/>
          <w:sz w:val="18"/>
          <w:szCs w:val="18"/>
          <w:lang w:bidi="ar"/>
        </w:rPr>
        <w:t>数字普惠金融指数</w:t>
      </w:r>
      <w:r>
        <w:rPr>
          <w:rFonts w:hint="eastAsia" w:ascii="Times New Roman" w:hAnsi="Times New Roman" w:eastAsia="宋体" w:cs="Times New Roman"/>
          <w:i w:val="0"/>
          <w:iCs/>
          <w:kern w:val="0"/>
          <w:sz w:val="18"/>
          <w:szCs w:val="18"/>
          <w:lang w:bidi="ar"/>
        </w:rPr>
        <w:t>数</w:t>
      </w:r>
      <w:r>
        <w:rPr>
          <w:rFonts w:ascii="Times New Roman" w:hAnsi="Times New Roman" w:eastAsia="宋体" w:cs="Times New Roman"/>
          <w:i w:val="0"/>
          <w:iCs/>
          <w:kern w:val="0"/>
          <w:sz w:val="18"/>
          <w:szCs w:val="18"/>
          <w:lang w:bidi="ar"/>
        </w:rPr>
        <w:t>，因而，</w:t>
      </w:r>
      <w:r>
        <w:rPr>
          <w:rFonts w:hint="eastAsia" w:ascii="Times New Roman" w:hAnsi="Times New Roman" w:eastAsia="宋体" w:cs="Times New Roman"/>
          <w:i w:val="0"/>
          <w:iCs/>
          <w:kern w:val="0"/>
          <w:sz w:val="18"/>
          <w:szCs w:val="18"/>
          <w:lang w:bidi="ar"/>
        </w:rPr>
        <w:t>构造省级层面经济综合发展指数时</w:t>
      </w:r>
      <w:r>
        <w:rPr>
          <w:rFonts w:ascii="Times New Roman" w:hAnsi="Times New Roman" w:eastAsia="宋体" w:cs="Times New Roman"/>
          <w:i w:val="0"/>
          <w:iCs/>
          <w:kern w:val="0"/>
          <w:sz w:val="18"/>
          <w:szCs w:val="18"/>
          <w:lang w:bidi="ar"/>
        </w:rPr>
        <w:t>仅选取了互联网发展</w:t>
      </w:r>
      <w:r>
        <w:rPr>
          <w:rFonts w:hint="eastAsia" w:ascii="Times New Roman" w:hAnsi="Times New Roman" w:eastAsia="宋体" w:cs="Times New Roman"/>
          <w:i w:val="0"/>
          <w:iCs/>
          <w:kern w:val="0"/>
          <w:sz w:val="18"/>
          <w:szCs w:val="18"/>
          <w:lang w:bidi="ar"/>
        </w:rPr>
        <w:t>相关</w:t>
      </w:r>
      <w:r>
        <w:rPr>
          <w:rFonts w:ascii="Times New Roman" w:hAnsi="Times New Roman" w:eastAsia="宋体" w:cs="Times New Roman"/>
          <w:i w:val="0"/>
          <w:iCs/>
          <w:kern w:val="0"/>
          <w:sz w:val="18"/>
          <w:szCs w:val="18"/>
          <w:lang w:bidi="ar"/>
        </w:rPr>
        <w:t>的</w:t>
      </w:r>
      <w:r>
        <w:rPr>
          <w:rFonts w:hint="eastAsia" w:ascii="Times New Roman" w:hAnsi="Times New Roman" w:eastAsia="宋体" w:cs="Times New Roman"/>
          <w:i w:val="0"/>
          <w:iCs/>
          <w:kern w:val="0"/>
          <w:sz w:val="18"/>
          <w:szCs w:val="18"/>
          <w:lang w:bidi="ar"/>
        </w:rPr>
        <w:t>四方面</w:t>
      </w:r>
      <w:r>
        <w:rPr>
          <w:rFonts w:ascii="Times New Roman" w:hAnsi="Times New Roman" w:eastAsia="宋体" w:cs="Times New Roman"/>
          <w:i w:val="0"/>
          <w:iCs/>
          <w:kern w:val="0"/>
          <w:sz w:val="18"/>
          <w:szCs w:val="18"/>
          <w:lang w:bidi="ar"/>
        </w:rPr>
        <w:t>指标</w:t>
      </w:r>
      <w:r>
        <w:rPr>
          <w:rFonts w:hint="eastAsia" w:ascii="Times New Roman" w:hAnsi="Times New Roman" w:eastAsia="宋体" w:cs="Times New Roman"/>
          <w:i w:val="0"/>
          <w:iCs/>
          <w:kern w:val="0"/>
          <w:sz w:val="18"/>
          <w:szCs w:val="18"/>
          <w:lang w:bidi="ar"/>
        </w:rPr>
        <w:t>进行分析</w:t>
      </w:r>
      <w:r>
        <w:rPr>
          <w:rFonts w:ascii="Times New Roman" w:hAnsi="Times New Roman" w:eastAsia="宋体" w:cs="Times New Roman"/>
          <w:i w:val="0"/>
          <w:iCs/>
          <w:kern w:val="0"/>
          <w:sz w:val="18"/>
          <w:szCs w:val="18"/>
          <w:lang w:bidi="ar"/>
        </w:rPr>
        <w:t>。</w:t>
      </w:r>
    </w:p>
    <w:p w14:paraId="07DF9628">
      <w:pPr>
        <w:snapToGrid w:val="0"/>
        <w:spacing w:line="300" w:lineRule="auto"/>
        <w:jc w:val="left"/>
        <w:textAlignment w:val="bottom"/>
        <w:rPr>
          <w:rFonts w:ascii="Cambria Math" w:hAnsi="Cambria Math" w:eastAsia="宋体" w:cs="Times New Roman"/>
          <w:i/>
          <w:kern w:val="2"/>
          <w:sz w:val="18"/>
          <w:szCs w:val="18"/>
          <w:lang w:val="en-US" w:eastAsia="zh-CN" w:bidi="ar-SA"/>
        </w:rPr>
      </w:pPr>
    </w:p>
  </w:footnote>
  <w:footnote w:id="6">
    <w:p w14:paraId="0841F323">
      <w:pPr>
        <w:pStyle w:val="5"/>
        <w:snapToGrid w:val="0"/>
      </w:pPr>
      <w:r>
        <w:rPr>
          <w:rStyle w:val="9"/>
          <w:rFonts w:hint="eastAsia" w:ascii="宋体" w:hAnsi="宋体" w:eastAsia="宋体" w:cs="宋体"/>
          <w:vertAlign w:val="baseline"/>
        </w:rPr>
        <w:footnoteRef/>
      </w:r>
      <w:r>
        <w:rPr>
          <w:rFonts w:hint="eastAsia" w:ascii="宋体" w:hAnsi="宋体" w:eastAsia="宋体" w:cs="宋体"/>
          <w:vertAlign w:val="baseline"/>
        </w:rPr>
        <w:t xml:space="preserve"> G</w:t>
      </w:r>
      <w:r>
        <w:rPr>
          <w:rFonts w:hint="default" w:ascii="Times New Roman" w:hAnsi="Times New Roman" w:eastAsia="宋体" w:cs="Times New Roman"/>
        </w:rPr>
        <w:t>oodman-Bacon A. Difference-in-differences with Variation in Treatment Timing[J]. Journal of Econometrics, 2021, 225(2): 254-277.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5B487"/>
    <w:multiLevelType w:val="singleLevel"/>
    <w:tmpl w:val="D735B48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zsTQ0MDE3tTA2NjBR0lEKTi0uzszPAykwrgUAucLCHiwAAAA="/>
    <w:docVar w:name="commondata" w:val="eyJoZGlkIjoiODEwNzg5ZmU3MGUyZjRkNTA0YTY4MDAzYzQ4NTI0MzgifQ=="/>
  </w:docVars>
  <w:rsids>
    <w:rsidRoot w:val="002B601F"/>
    <w:rsid w:val="00095F9C"/>
    <w:rsid w:val="00196EED"/>
    <w:rsid w:val="001C2BA1"/>
    <w:rsid w:val="00211F2B"/>
    <w:rsid w:val="00284217"/>
    <w:rsid w:val="0029445A"/>
    <w:rsid w:val="002B601F"/>
    <w:rsid w:val="002D2738"/>
    <w:rsid w:val="003D5642"/>
    <w:rsid w:val="0048141C"/>
    <w:rsid w:val="004B48CF"/>
    <w:rsid w:val="007D7442"/>
    <w:rsid w:val="008875CC"/>
    <w:rsid w:val="00B0791B"/>
    <w:rsid w:val="00BF6636"/>
    <w:rsid w:val="00C96599"/>
    <w:rsid w:val="00CD3C41"/>
    <w:rsid w:val="00D42ECB"/>
    <w:rsid w:val="00D63804"/>
    <w:rsid w:val="00FF39FE"/>
    <w:rsid w:val="013E2686"/>
    <w:rsid w:val="026F208E"/>
    <w:rsid w:val="032448EC"/>
    <w:rsid w:val="042F3475"/>
    <w:rsid w:val="04B213C1"/>
    <w:rsid w:val="04C525B7"/>
    <w:rsid w:val="04DC74B0"/>
    <w:rsid w:val="05852631"/>
    <w:rsid w:val="060C7503"/>
    <w:rsid w:val="0683652B"/>
    <w:rsid w:val="0A1246B0"/>
    <w:rsid w:val="0A40121D"/>
    <w:rsid w:val="0A4F1460"/>
    <w:rsid w:val="0B302B93"/>
    <w:rsid w:val="0C2661F0"/>
    <w:rsid w:val="0CA313D8"/>
    <w:rsid w:val="0D4903E8"/>
    <w:rsid w:val="0D584ACF"/>
    <w:rsid w:val="0DD95C10"/>
    <w:rsid w:val="0F0071CD"/>
    <w:rsid w:val="0F1B54BA"/>
    <w:rsid w:val="10215D6D"/>
    <w:rsid w:val="10DE52EC"/>
    <w:rsid w:val="113C09F8"/>
    <w:rsid w:val="11537A88"/>
    <w:rsid w:val="119C17B8"/>
    <w:rsid w:val="119E39C9"/>
    <w:rsid w:val="120F1CE9"/>
    <w:rsid w:val="12137217"/>
    <w:rsid w:val="128D6088"/>
    <w:rsid w:val="12D76496"/>
    <w:rsid w:val="12E33BC2"/>
    <w:rsid w:val="135440CA"/>
    <w:rsid w:val="13D34EB0"/>
    <w:rsid w:val="14901BB6"/>
    <w:rsid w:val="14B97E95"/>
    <w:rsid w:val="14BA1BCC"/>
    <w:rsid w:val="14C173FE"/>
    <w:rsid w:val="14E304F1"/>
    <w:rsid w:val="14EA0703"/>
    <w:rsid w:val="15CF0E64"/>
    <w:rsid w:val="15DB44F0"/>
    <w:rsid w:val="165E315D"/>
    <w:rsid w:val="180427B5"/>
    <w:rsid w:val="18C272A1"/>
    <w:rsid w:val="198729C4"/>
    <w:rsid w:val="19910913"/>
    <w:rsid w:val="19AC5F87"/>
    <w:rsid w:val="1C7825A2"/>
    <w:rsid w:val="1D293D92"/>
    <w:rsid w:val="1D5D57EA"/>
    <w:rsid w:val="1DA226F9"/>
    <w:rsid w:val="1F470500"/>
    <w:rsid w:val="1F4E5D32"/>
    <w:rsid w:val="1FAE0A2B"/>
    <w:rsid w:val="202C7494"/>
    <w:rsid w:val="20727BBC"/>
    <w:rsid w:val="20B50658"/>
    <w:rsid w:val="212154AC"/>
    <w:rsid w:val="21E65946"/>
    <w:rsid w:val="21F33D9E"/>
    <w:rsid w:val="22D16A5E"/>
    <w:rsid w:val="22F015DA"/>
    <w:rsid w:val="23064169"/>
    <w:rsid w:val="239B442C"/>
    <w:rsid w:val="23A6188A"/>
    <w:rsid w:val="23FD4FCF"/>
    <w:rsid w:val="241A3717"/>
    <w:rsid w:val="244D431F"/>
    <w:rsid w:val="25002DB6"/>
    <w:rsid w:val="26906C37"/>
    <w:rsid w:val="26FB67A0"/>
    <w:rsid w:val="271B299E"/>
    <w:rsid w:val="27636F66"/>
    <w:rsid w:val="2789593F"/>
    <w:rsid w:val="27FA25B3"/>
    <w:rsid w:val="28463A4A"/>
    <w:rsid w:val="28600E52"/>
    <w:rsid w:val="28606947"/>
    <w:rsid w:val="287C2C88"/>
    <w:rsid w:val="292875B4"/>
    <w:rsid w:val="29C6208B"/>
    <w:rsid w:val="2ABD0087"/>
    <w:rsid w:val="2AE82B97"/>
    <w:rsid w:val="2B33475A"/>
    <w:rsid w:val="2B5E10AB"/>
    <w:rsid w:val="2B6E5792"/>
    <w:rsid w:val="2BBC1F97"/>
    <w:rsid w:val="2D110BAA"/>
    <w:rsid w:val="2DF27A54"/>
    <w:rsid w:val="2E4B53AF"/>
    <w:rsid w:val="31905D36"/>
    <w:rsid w:val="31BC4D7D"/>
    <w:rsid w:val="31ED52D5"/>
    <w:rsid w:val="320D7387"/>
    <w:rsid w:val="3276317E"/>
    <w:rsid w:val="331D3AAC"/>
    <w:rsid w:val="34ED18B3"/>
    <w:rsid w:val="35845A42"/>
    <w:rsid w:val="36AA1228"/>
    <w:rsid w:val="37282C95"/>
    <w:rsid w:val="38E70932"/>
    <w:rsid w:val="391B523E"/>
    <w:rsid w:val="3A375C49"/>
    <w:rsid w:val="3ABA6326"/>
    <w:rsid w:val="3AC65573"/>
    <w:rsid w:val="3B0652C3"/>
    <w:rsid w:val="3C3F4ED4"/>
    <w:rsid w:val="3CF31B91"/>
    <w:rsid w:val="3D1D0DC6"/>
    <w:rsid w:val="3D621E5E"/>
    <w:rsid w:val="3F6661DC"/>
    <w:rsid w:val="40CE1B87"/>
    <w:rsid w:val="419158DF"/>
    <w:rsid w:val="421D680A"/>
    <w:rsid w:val="42C121F4"/>
    <w:rsid w:val="43686B13"/>
    <w:rsid w:val="43B9736F"/>
    <w:rsid w:val="43EA7528"/>
    <w:rsid w:val="44850FE2"/>
    <w:rsid w:val="44F72877"/>
    <w:rsid w:val="452B268D"/>
    <w:rsid w:val="458539AC"/>
    <w:rsid w:val="46DD1E10"/>
    <w:rsid w:val="47321912"/>
    <w:rsid w:val="476E53A2"/>
    <w:rsid w:val="48274C70"/>
    <w:rsid w:val="494911AB"/>
    <w:rsid w:val="497955D6"/>
    <w:rsid w:val="4B897627"/>
    <w:rsid w:val="4B9372A2"/>
    <w:rsid w:val="4BCB48D4"/>
    <w:rsid w:val="4C46697A"/>
    <w:rsid w:val="4CFB538C"/>
    <w:rsid w:val="4D7B6EFB"/>
    <w:rsid w:val="4E474B80"/>
    <w:rsid w:val="4E5D060B"/>
    <w:rsid w:val="50322FD8"/>
    <w:rsid w:val="51215A88"/>
    <w:rsid w:val="513166FB"/>
    <w:rsid w:val="52265017"/>
    <w:rsid w:val="5269688E"/>
    <w:rsid w:val="5332680F"/>
    <w:rsid w:val="534E5E76"/>
    <w:rsid w:val="53CF0A38"/>
    <w:rsid w:val="53D14261"/>
    <w:rsid w:val="5455279C"/>
    <w:rsid w:val="54F22D84"/>
    <w:rsid w:val="55A804C5"/>
    <w:rsid w:val="572A285B"/>
    <w:rsid w:val="57420240"/>
    <w:rsid w:val="574A6300"/>
    <w:rsid w:val="585C50BF"/>
    <w:rsid w:val="58BD6B62"/>
    <w:rsid w:val="5CE53FE5"/>
    <w:rsid w:val="5D9702C9"/>
    <w:rsid w:val="5D9E058D"/>
    <w:rsid w:val="5E2A2EEB"/>
    <w:rsid w:val="5E50098D"/>
    <w:rsid w:val="5F61293D"/>
    <w:rsid w:val="5FB710AD"/>
    <w:rsid w:val="60410E37"/>
    <w:rsid w:val="605A7671"/>
    <w:rsid w:val="60765F74"/>
    <w:rsid w:val="61BF0E4D"/>
    <w:rsid w:val="622D6B06"/>
    <w:rsid w:val="631448DA"/>
    <w:rsid w:val="632B74E9"/>
    <w:rsid w:val="63516AC1"/>
    <w:rsid w:val="63690012"/>
    <w:rsid w:val="636B3D8A"/>
    <w:rsid w:val="6393508F"/>
    <w:rsid w:val="64FC3D0B"/>
    <w:rsid w:val="65DB3E06"/>
    <w:rsid w:val="65E9368C"/>
    <w:rsid w:val="6659436D"/>
    <w:rsid w:val="665C366B"/>
    <w:rsid w:val="66A93BCA"/>
    <w:rsid w:val="677245C6"/>
    <w:rsid w:val="683B486A"/>
    <w:rsid w:val="688B7FB9"/>
    <w:rsid w:val="692D1AE1"/>
    <w:rsid w:val="6998062A"/>
    <w:rsid w:val="69BC3ADF"/>
    <w:rsid w:val="6AA71922"/>
    <w:rsid w:val="6C1D3916"/>
    <w:rsid w:val="6C991968"/>
    <w:rsid w:val="6CF43042"/>
    <w:rsid w:val="6D726375"/>
    <w:rsid w:val="6DA560EA"/>
    <w:rsid w:val="6DAA3701"/>
    <w:rsid w:val="6E183353"/>
    <w:rsid w:val="6F9D63AC"/>
    <w:rsid w:val="703A2D15"/>
    <w:rsid w:val="70666005"/>
    <w:rsid w:val="70911369"/>
    <w:rsid w:val="70F27CA7"/>
    <w:rsid w:val="712B2DAA"/>
    <w:rsid w:val="72135E5F"/>
    <w:rsid w:val="7238577F"/>
    <w:rsid w:val="72525412"/>
    <w:rsid w:val="744101B6"/>
    <w:rsid w:val="74517B1D"/>
    <w:rsid w:val="747965B7"/>
    <w:rsid w:val="74C62997"/>
    <w:rsid w:val="753A180E"/>
    <w:rsid w:val="75E746FE"/>
    <w:rsid w:val="760342F6"/>
    <w:rsid w:val="760A0D54"/>
    <w:rsid w:val="76124DDB"/>
    <w:rsid w:val="767D0529"/>
    <w:rsid w:val="780D5FF9"/>
    <w:rsid w:val="7826607A"/>
    <w:rsid w:val="797E7FB2"/>
    <w:rsid w:val="79A73292"/>
    <w:rsid w:val="7A546ECE"/>
    <w:rsid w:val="7B0405A8"/>
    <w:rsid w:val="7B731CD9"/>
    <w:rsid w:val="7BB76342"/>
    <w:rsid w:val="7C191192"/>
    <w:rsid w:val="7C6567F5"/>
    <w:rsid w:val="7F1F5EB3"/>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qFormat/>
    <w:uiPriority w:val="99"/>
    <w:pPr>
      <w:snapToGrid w:val="0"/>
      <w:jc w:val="left"/>
    </w:pPr>
    <w:rPr>
      <w:sz w:val="18"/>
    </w:rPr>
  </w:style>
  <w:style w:type="character" w:styleId="8">
    <w:name w:val="annotation reference"/>
    <w:basedOn w:val="7"/>
    <w:semiHidden/>
    <w:unhideWhenUsed/>
    <w:qFormat/>
    <w:uiPriority w:val="99"/>
    <w:rPr>
      <w:sz w:val="21"/>
      <w:szCs w:val="21"/>
    </w:rPr>
  </w:style>
  <w:style w:type="character" w:styleId="9">
    <w:name w:val="footnote reference"/>
    <w:basedOn w:val="7"/>
    <w:semiHidden/>
    <w:unhideWhenUsed/>
    <w:qFormat/>
    <w:uiPriority w:val="99"/>
    <w:rPr>
      <w:vertAlign w:val="superscript"/>
    </w:rPr>
  </w:style>
  <w:style w:type="character" w:customStyle="1" w:styleId="10">
    <w:name w:val="批注文字 字符"/>
    <w:basedOn w:val="7"/>
    <w:link w:val="2"/>
    <w:semiHidden/>
    <w:qFormat/>
    <w:uiPriority w:val="99"/>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3551</Words>
  <Characters>3947</Characters>
  <Lines>4</Lines>
  <Paragraphs>1</Paragraphs>
  <TotalTime>22</TotalTime>
  <ScaleCrop>false</ScaleCrop>
  <LinksUpToDate>false</LinksUpToDate>
  <CharactersWithSpaces>3979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2024-07-20T03:23:00Z</dcterms:created>
  <dc:creator>Cheng Ivy</dc:creator>
  <cp:lastModifiedBy>K</cp:lastModifiedBy>
  <dcterms:modified xsi:type="dcterms:W3CDTF">2024-12-30T00:23:33Z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64D1D0EF884D40C084253F2A4C01BB7D_13</vt:lpwstr>
  </property>
  <property fmtid="{D5CDD505-2E9C-101B-9397-08002B2CF9AE}" pid="4" name="KSOTemplateDocerSaveRecord">
    <vt:lpwstr>eyJoZGlkIjoiODEwNzg5ZmU3MGUyZjRkNTA0YTY4MDAzYzQ4NTI0MzgiLCJ1c2VySWQiOiI0MDcyOTY2NjQifQ==</vt:lpwstr>
  </property>
</Properties>
</file>