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6"/>
        <w:gridCol w:w="4256"/>
      </w:tblGrid>
      <w:tr w14:paraId="362B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16A63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eastAsia="zh-CN"/>
              </w:rPr>
            </w:pPr>
            <w:bookmarkStart w:id="0" w:name="_GoBack"/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eastAsia="zh-CN"/>
              </w:rPr>
              <w:drawing>
                <wp:inline distT="0" distB="0" distL="114300" distR="114300">
                  <wp:extent cx="2565400" cy="1460500"/>
                  <wp:effectExtent l="0" t="0" r="6350" b="6350"/>
                  <wp:docPr id="3" name="图片 3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7EC6F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eastAsia="zh-CN"/>
              </w:rPr>
              <w:drawing>
                <wp:inline distT="0" distB="0" distL="114300" distR="114300">
                  <wp:extent cx="2319020" cy="1550035"/>
                  <wp:effectExtent l="0" t="0" r="5080" b="12065"/>
                  <wp:docPr id="4" name="图片 4" descr="Grap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Graph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-968" b="119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020" cy="155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05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4B57F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val="en-US" w:eastAsia="zh-CN"/>
              </w:rPr>
              <w:t>(1)</w:t>
            </w:r>
          </w:p>
        </w:tc>
        <w:tc>
          <w:tcPr>
            <w:tcW w:w="2500" w:type="pct"/>
          </w:tcPr>
          <w:p w14:paraId="57250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vertAlign w:val="baseline"/>
                <w:lang w:val="en-US" w:eastAsia="zh-CN"/>
              </w:rPr>
              <w:t>(2)</w:t>
            </w:r>
          </w:p>
        </w:tc>
      </w:tr>
    </w:tbl>
    <w:p w14:paraId="509F7B70">
      <w:pPr>
        <w:bidi w:val="0"/>
        <w:jc w:val="center"/>
        <w:rPr>
          <w:rFonts w:hint="eastAsia" w:ascii="黑体" w:hAnsi="黑体" w:eastAsia="黑体" w:cs="黑体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highlight w:val="none"/>
          <w:lang w:val="en-US" w:eastAsia="zh-CN"/>
        </w:rPr>
        <w:t>图1外卖配送与数字经济发展</w:t>
      </w:r>
    </w:p>
    <w:p w14:paraId="20669D95">
      <w:pPr>
        <w:bidi w:val="0"/>
        <w:rPr>
          <w:rFonts w:hint="default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注：外卖配送站点数据来源为天眼查平台（https://www.tianyancha.com/），移动电话和电信业务总量数据来源为《中国统计年鉴》。图（2）横轴为各城市截至2018年外卖配送站点</w:t>
      </w:r>
      <w:r>
        <w:rPr>
          <w:rFonts w:hint="eastAsia" w:eastAsia="宋体" w:cs="Times New Roman"/>
          <w:color w:val="auto"/>
          <w:sz w:val="15"/>
          <w:szCs w:val="15"/>
          <w:highlight w:val="none"/>
          <w:lang w:val="en-US" w:eastAsia="zh-CN"/>
        </w:rPr>
        <w:t>累积设立</w:t>
      </w:r>
      <w:r>
        <w:rPr>
          <w:rFonts w:hint="default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数目，纵轴为参照赵涛等（2020）文章获得的2018年城市数字经济主成分，基础测算指标包括电信业务收入（万元）、信息传输计算机服务和软件业（人）、互联网宽带接入用户数（万户）、移动电话用户数（万人）、普惠金融指数，数据来源为《中国城市统计年鉴》和北京大学数字金融研究中心和蚂蚁金服集团共同编制的</w:t>
      </w:r>
      <w:r>
        <w:rPr>
          <w:rFonts w:hint="eastAsia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中国数字普惠金融指数</w:t>
      </w:r>
      <w:r>
        <w:rPr>
          <w:rFonts w:hint="eastAsia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15"/>
          <w:szCs w:val="15"/>
          <w:highlight w:val="none"/>
          <w:lang w:val="en-US" w:eastAsia="zh-CN"/>
        </w:rPr>
        <w:t>（郭峰等，2020）。</w:t>
      </w:r>
    </w:p>
    <w:p w14:paraId="5BA1226F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</w:p>
    <w:p w14:paraId="41515256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1.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改变解释变量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为当年设立站点数目</w:t>
      </w:r>
    </w:p>
    <w:p w14:paraId="4C056DD6">
      <w:pPr>
        <w:ind w:left="0" w:leftChars="0" w:firstLine="420" w:firstLineChars="200"/>
        <w:rPr>
          <w:rFonts w:hint="default" w:ascii="Times New Roman" w:hAnsi="Times New Roman" w:eastAsia="宋体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考虑外卖平台进驻到不同城市的时间和即时推广力度不同（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莫怡青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李力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2022），累积站点数目会受到时间影响，难以反映城市当年外卖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配送新业态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活跃度。为了控制这一识别偏差，本文以当年设立配送站点数目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lang w:val="en-US" w:eastAsia="zh-CN"/>
        </w:rPr>
        <w:t>Curr_delivery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vertAlign w:val="subscript"/>
          <w:lang w:val="en-US" w:eastAsia="zh-CN"/>
        </w:rPr>
        <w:t>ct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替换核心解释变量，回归结果参见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第一栏。城市外卖站点当年设立数量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每增加100个，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男性工资溢价水平分别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增加1.256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1.111单位，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当地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男性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年工资和小时工资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分别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比女性平均多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增加</w:t>
      </w:r>
      <w:r>
        <w:rPr>
          <w:rFonts w:hint="default"/>
          <w:color w:val="auto"/>
          <w:sz w:val="21"/>
          <w:szCs w:val="21"/>
          <w:highlight w:val="none"/>
        </w:rPr>
        <w:t>0.602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万元和</w:t>
      </w:r>
      <w:r>
        <w:rPr>
          <w:rFonts w:hint="default"/>
          <w:color w:val="auto"/>
          <w:sz w:val="21"/>
          <w:szCs w:val="21"/>
          <w:highlight w:val="none"/>
        </w:rPr>
        <w:t>2.877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元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。</w:t>
      </w:r>
    </w:p>
    <w:p w14:paraId="75BEE4D6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2.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改变解释变量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为累积设立站点比例</w:t>
      </w:r>
    </w:p>
    <w:p w14:paraId="3CE2CA03">
      <w:pPr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基准情形下核心解释变量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为城市外卖站点累积设立绝对数。为了消除绝对数值产生的潜在测量误差影响，本文用城市当年累积设立数除以当年最大数值，计算累计比例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lang w:val="en-US" w:eastAsia="zh-CN"/>
        </w:rPr>
        <w:t>Rate_delivery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  <w:vertAlign w:val="subscript"/>
          <w:lang w:val="en-US" w:eastAsia="zh-CN"/>
        </w:rPr>
        <w:t>ct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并替换核心解释变量，回归结果参见</w:t>
      </w:r>
      <w:r>
        <w:rPr>
          <w:rFonts w:hint="eastAsia" w:eastAsia="宋体" w:cs="Times New Roman"/>
          <w:color w:val="auto"/>
          <w:sz w:val="21"/>
          <w:szCs w:val="21"/>
          <w:highlight w:val="none"/>
          <w:lang w:val="en-US"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第二栏。城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市外卖站点累积设立比例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每增加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0.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1，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男性工资溢价水平分别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增加0.444和0.387单位，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当地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男性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年工资和小时工资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分别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比女性平均多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增加</w:t>
      </w:r>
      <w:r>
        <w:rPr>
          <w:rFonts w:hint="default"/>
          <w:color w:val="auto"/>
          <w:sz w:val="21"/>
          <w:szCs w:val="21"/>
          <w:highlight w:val="none"/>
        </w:rPr>
        <w:t>2.004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万元和</w:t>
      </w:r>
      <w:r>
        <w:rPr>
          <w:rFonts w:hint="default"/>
          <w:color w:val="auto"/>
          <w:sz w:val="21"/>
          <w:szCs w:val="21"/>
          <w:highlight w:val="none"/>
        </w:rPr>
        <w:t>8.929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元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。</w:t>
      </w:r>
    </w:p>
    <w:p w14:paraId="44FD06C0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3.删除直辖市</w:t>
      </w:r>
      <w:r>
        <w:rPr>
          <w:rFonts w:hint="eastAsia" w:cs="Times New Roman"/>
          <w:color w:val="auto"/>
          <w:szCs w:val="21"/>
          <w:highlight w:val="none"/>
          <w:lang w:val="en-US" w:eastAsia="zh-CN"/>
        </w:rPr>
        <w:t>、省会城市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样本</w:t>
      </w:r>
    </w:p>
    <w:p w14:paraId="171D8BAF">
      <w:pPr>
        <w:pStyle w:val="3"/>
        <w:ind w:firstLine="420"/>
        <w:jc w:val="both"/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</w:rPr>
        <w:t>直辖市</w:t>
      </w:r>
      <w:r>
        <w:rPr>
          <w:rFonts w:hint="eastAsia" w:eastAsia="宋体" w:cs="Times New Roman"/>
          <w:iCs/>
          <w:color w:val="auto"/>
          <w:szCs w:val="21"/>
          <w:highlight w:val="none"/>
          <w:lang w:eastAsia="zh-CN"/>
        </w:rPr>
        <w:t>、</w:t>
      </w:r>
      <w:r>
        <w:rPr>
          <w:rFonts w:hint="eastAsia" w:eastAsia="宋体" w:cs="Times New Roman"/>
          <w:iCs/>
          <w:color w:val="auto"/>
          <w:szCs w:val="21"/>
          <w:highlight w:val="none"/>
          <w:lang w:val="en-US" w:eastAsia="zh-CN"/>
        </w:rPr>
        <w:t>省会城市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</w:rPr>
        <w:t>的行政地位与省、自治区、特别行政区相同，其政治属性、经济禀赋、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  <w:lang w:val="en-US" w:eastAsia="zh-CN"/>
        </w:rPr>
        <w:t>生活水平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</w:rPr>
        <w:t>、发展前景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  <w:lang w:val="en-US" w:eastAsia="zh-CN"/>
        </w:rPr>
        <w:t>创新能力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</w:rPr>
        <w:t>等诸多方面均会与非直辖市城市存在显著差异，因此将它们</w:t>
      </w:r>
      <w:r>
        <w:rPr>
          <w:rFonts w:hint="default" w:ascii="Times New Roman" w:hAnsi="Times New Roman" w:eastAsia="宋体" w:cs="Times New Roman"/>
          <w:iCs/>
          <w:color w:val="auto"/>
          <w:szCs w:val="21"/>
          <w:highlight w:val="none"/>
          <w:lang w:val="en-US" w:eastAsia="zh-CN"/>
        </w:rPr>
        <w:t>包括在样本内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可能会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干扰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基准回归结果。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第三栏剔除了直辖市样本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，第四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栏剔除了直辖市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和省会城市的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样本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两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栏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回归结果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均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与表2、表3结果基本一致。</w:t>
      </w:r>
    </w:p>
    <w:p w14:paraId="010CF3CA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4.删除2008年样本</w:t>
      </w:r>
    </w:p>
    <w:p w14:paraId="290F786D">
      <w:pPr>
        <w:pStyle w:val="3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本文还进行了删除2008年样本的稳健性检验，主要基于两方面考虑。首先，在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外卖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配送新业态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发展初期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，各地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配送站点设立数目不多、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互联网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平台应用频率不高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，绝大多数城市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累积设立站点数目为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0，因而可能引致潜在估计偏误。其次，CHIP2008采用了与CHIP2013、2018不同的调查问卷，导致2008年核心指标的构建与其余两年之间存在微小差距，产生样本误差问题。为了消除上述影响，</w:t>
      </w:r>
      <w:r>
        <w:rPr>
          <w:rFonts w:hint="eastAsia" w:eastAsia="宋体" w:cs="Times New Roman"/>
          <w:color w:val="auto"/>
          <w:szCs w:val="21"/>
          <w:highlight w:val="none"/>
          <w:lang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第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栏仅针对2013、2018年样本进行分析，系数方向与基准回归结果一致。</w:t>
      </w:r>
    </w:p>
    <w:p w14:paraId="512B73B2">
      <w:pPr>
        <w:pStyle w:val="2"/>
        <w:bidi w:val="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5.删除累积站点数目为0样本</w:t>
      </w:r>
    </w:p>
    <w:p w14:paraId="770795C7">
      <w:pPr>
        <w:pStyle w:val="3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智联招聘、前程无忧、猎聘等求职平台的数据显示，截至2020年外卖平台进驻了全国近350个城市，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均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发布了招聘配送骑手的信息（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莫怡青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李力行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2022），其中2014、2015年为高峰期。在本文研究样本早期，部分城市由于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外卖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行业市场需求规模不足，未能形成一定体量的、集成的配送站点，但实际上可能基于互联网平台特性存在活跃的配送骑手。因此，为了消除这部分绝对站点数量为0地区对基准结果产生的干扰，</w:t>
      </w:r>
      <w:r>
        <w:rPr>
          <w:rFonts w:hint="eastAsia" w:eastAsia="宋体" w:cs="Times New Roman"/>
          <w:color w:val="auto"/>
          <w:szCs w:val="21"/>
          <w:highlight w:val="none"/>
          <w:lang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第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栏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删除了这部分样本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，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得到的回归结果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</w:rPr>
        <w:t>系数方向与基准回归基本一致。</w:t>
      </w:r>
    </w:p>
    <w:p w14:paraId="5B1EFF38">
      <w:pPr>
        <w:pStyle w:val="2"/>
        <w:numPr>
          <w:ilvl w:val="-1"/>
          <w:numId w:val="0"/>
        </w:numPr>
        <w:bidi w:val="0"/>
        <w:ind w:firstLine="420" w:firstLineChars="200"/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</w:pPr>
      <w:r>
        <w:rPr>
          <w:rFonts w:hint="eastAsia" w:cs="Times New Roman"/>
          <w:color w:val="auto"/>
          <w:szCs w:val="21"/>
          <w:highlight w:val="none"/>
          <w:lang w:val="en-US" w:eastAsia="zh-CN"/>
        </w:rPr>
        <w:t>6.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删除健康状况不佳的样本</w:t>
      </w:r>
    </w:p>
    <w:p w14:paraId="3B8E9974">
      <w:pPr>
        <w:pStyle w:val="3"/>
        <w:numPr>
          <w:ilvl w:val="0"/>
          <w:numId w:val="0"/>
        </w:numPr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根据李建民等（2018）研究，健康状况与性别就业中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繁重的体力劳动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大量的脑力劳动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之间的抉择直接相关。考虑到外卖骑手需要良好的健康状况和体力劳动条件，同时加强说明外卖配送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新业态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发展对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体力劳动优势的突出性和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性别就业差异的针对性，本文根据CHIP调查问卷中问题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与同龄人相比，您目前的健康状况是 ①非常好 ②好 ③一般 ④不好 ⑤非常不好</w:t>
      </w:r>
      <w:r>
        <w:rPr>
          <w:rFonts w:hint="eastAsia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，将选择④和⑤的样本删除，重新计算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性别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工资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溢价水平后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进行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城市层次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检验，并根据删除后的样本进行个体层面稳健性分析。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表5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栏结果与基准回归结果方向一致，且</w:t>
      </w:r>
      <w:r>
        <w:rPr>
          <w:rFonts w:hint="eastAsia" w:eastAsia="宋体" w:cs="Times New Roman"/>
          <w:color w:val="auto"/>
          <w:szCs w:val="21"/>
          <w:highlight w:val="none"/>
          <w:lang w:val="en-US" w:eastAsia="zh-CN"/>
        </w:rPr>
        <w:t>系数</w:t>
      </w:r>
      <w:r>
        <w:rPr>
          <w:rFonts w:hint="default" w:ascii="Times New Roman" w:hAnsi="Times New Roman" w:eastAsia="宋体" w:cs="Times New Roman"/>
          <w:color w:val="auto"/>
          <w:szCs w:val="21"/>
          <w:highlight w:val="none"/>
          <w:lang w:val="en-US" w:eastAsia="zh-CN"/>
        </w:rPr>
        <w:t>绝对值大小轻微增加，进一步说明了本文结果的针对性。</w:t>
      </w:r>
    </w:p>
    <w:p w14:paraId="0865BCB1">
      <w:pPr>
        <w:ind w:firstLine="0"/>
        <w:jc w:val="center"/>
        <w:rPr>
          <w:rFonts w:hint="eastAsia" w:ascii="黑体" w:hAnsi="黑体" w:eastAsia="黑体" w:cs="黑体"/>
          <w:b w:val="0"/>
          <w:bCs w:val="0"/>
          <w:color w:val="auto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highlight w:val="none"/>
          <w:lang w:eastAsia="zh-CN"/>
        </w:rPr>
        <w:t>表5</w:t>
      </w:r>
      <w:r>
        <w:rPr>
          <w:rFonts w:hint="eastAsia" w:ascii="黑体" w:hAnsi="黑体" w:eastAsia="黑体" w:cs="黑体"/>
          <w:b w:val="0"/>
          <w:bCs w:val="0"/>
          <w:color w:val="auto"/>
          <w:highlight w:val="none"/>
        </w:rPr>
        <w:t xml:space="preserve"> 稳健性检验：改变解释变量</w:t>
      </w:r>
      <w:r>
        <w:rPr>
          <w:rFonts w:hint="eastAsia" w:ascii="黑体" w:hAnsi="黑体" w:eastAsia="黑体" w:cs="黑体"/>
          <w:b w:val="0"/>
          <w:bCs w:val="0"/>
          <w:color w:val="auto"/>
          <w:highlight w:val="none"/>
          <w:lang w:val="en-US" w:eastAsia="zh-CN"/>
        </w:rPr>
        <w:t>和</w:t>
      </w:r>
      <w:r>
        <w:rPr>
          <w:rFonts w:hint="eastAsia" w:ascii="黑体" w:hAnsi="黑体" w:eastAsia="黑体" w:cs="黑体"/>
          <w:b w:val="0"/>
          <w:bCs w:val="0"/>
          <w:color w:val="auto"/>
          <w:highlight w:val="none"/>
        </w:rPr>
        <w:t>变换样本选择</w:t>
      </w:r>
    </w:p>
    <w:tbl>
      <w:tblPr>
        <w:tblStyle w:val="4"/>
        <w:tblW w:w="5000" w:type="pct"/>
        <w:jc w:val="center"/>
        <w:tblLayout w:type="autofit"/>
        <w:tblCellMar>
          <w:top w:w="0" w:type="dxa"/>
          <w:left w:w="75" w:type="dxa"/>
          <w:bottom w:w="0" w:type="dxa"/>
          <w:right w:w="75" w:type="dxa"/>
        </w:tblCellMar>
      </w:tblPr>
      <w:tblGrid>
        <w:gridCol w:w="1254"/>
        <w:gridCol w:w="1328"/>
        <w:gridCol w:w="1332"/>
        <w:gridCol w:w="1868"/>
        <w:gridCol w:w="1331"/>
        <w:gridCol w:w="1343"/>
      </w:tblGrid>
      <w:tr w14:paraId="282BB32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043D2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78042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(1)</w:t>
            </w:r>
          </w:p>
        </w:tc>
        <w:tc>
          <w:tcPr>
            <w:tcW w:w="787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641C1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(2)</w:t>
            </w:r>
          </w:p>
        </w:tc>
        <w:tc>
          <w:tcPr>
            <w:tcW w:w="1104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4C6A7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7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645E7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(3)</w:t>
            </w:r>
          </w:p>
        </w:tc>
        <w:tc>
          <w:tcPr>
            <w:tcW w:w="792" w:type="pct"/>
            <w:tcBorders>
              <w:top w:val="single" w:color="auto" w:sz="6" w:space="0"/>
              <w:left w:val="nil"/>
              <w:right w:val="nil"/>
            </w:tcBorders>
            <w:vAlign w:val="center"/>
          </w:tcPr>
          <w:p w14:paraId="12406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(4)</w:t>
            </w:r>
          </w:p>
        </w:tc>
      </w:tr>
      <w:tr w14:paraId="29447111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2315" w:type="pct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C040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城市层次</w:t>
            </w:r>
          </w:p>
        </w:tc>
        <w:tc>
          <w:tcPr>
            <w:tcW w:w="2684" w:type="pct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0A03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个体层次</w:t>
            </w:r>
          </w:p>
        </w:tc>
      </w:tr>
      <w:tr w14:paraId="2A473C3A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E1DD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变量</w:t>
            </w:r>
          </w:p>
        </w:tc>
        <w:tc>
          <w:tcPr>
            <w:tcW w:w="786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top"/>
          </w:tcPr>
          <w:p w14:paraId="3B4EE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Premium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_yr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top"/>
          </w:tcPr>
          <w:p w14:paraId="7A4EB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Premium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_hr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1104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top"/>
          </w:tcPr>
          <w:p w14:paraId="3009B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变量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top"/>
          </w:tcPr>
          <w:p w14:paraId="7ECD8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Income_yr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top"/>
          </w:tcPr>
          <w:p w14:paraId="646EA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i/>
                <w:i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Income_hr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</w:p>
        </w:tc>
      </w:tr>
      <w:tr w14:paraId="7EABD6A3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left w:val="nil"/>
              <w:bottom w:val="single" w:color="auto" w:sz="6" w:space="0"/>
              <w:right w:val="nil"/>
            </w:tcBorders>
            <w:vAlign w:val="center"/>
          </w:tcPr>
          <w:p w14:paraId="284004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改变解释变量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当年设立站点数目</w:t>
            </w:r>
          </w:p>
        </w:tc>
      </w:tr>
      <w:tr w14:paraId="4CF09F4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80" w:hRule="atLeast"/>
          <w:jc w:val="center"/>
        </w:trPr>
        <w:tc>
          <w:tcPr>
            <w:tcW w:w="741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945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Curr_delivery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ED5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1.256***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AE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1.111***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9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Curr_delivery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56A3B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0.602***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4B6C07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2.877***</w:t>
            </w:r>
          </w:p>
        </w:tc>
      </w:tr>
      <w:tr w14:paraId="7075AE24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Merge w:val="continue"/>
            <w:tcBorders>
              <w:left w:val="nil"/>
              <w:bottom w:val="nil"/>
              <w:right w:val="nil"/>
            </w:tcBorders>
            <w:vAlign w:val="center"/>
          </w:tcPr>
          <w:p w14:paraId="041FA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97F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(0.263)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3EE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(0.277)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197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BFBF04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(0.142)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27D39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(0.816)</w:t>
            </w:r>
          </w:p>
        </w:tc>
      </w:tr>
      <w:tr w14:paraId="03126433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left w:val="nil"/>
              <w:bottom w:val="nil"/>
              <w:right w:val="nil"/>
            </w:tcBorders>
            <w:vAlign w:val="center"/>
          </w:tcPr>
          <w:p w14:paraId="049476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14:paraId="4F090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299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</w:tcPr>
          <w:p w14:paraId="09463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299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931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8707DE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51949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CB36BF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51949</w:t>
            </w:r>
          </w:p>
        </w:tc>
      </w:tr>
      <w:tr w14:paraId="29DF2A9F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84B19E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49006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0.535</w:t>
            </w:r>
          </w:p>
        </w:tc>
        <w:tc>
          <w:tcPr>
            <w:tcW w:w="78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54D27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0.492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0557E6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5421252A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0.171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0F42B0B3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0.075</w:t>
            </w:r>
          </w:p>
        </w:tc>
      </w:tr>
      <w:tr w14:paraId="7A17503F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44E432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改变解释变量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累积设立站点比例</w:t>
            </w:r>
          </w:p>
        </w:tc>
      </w:tr>
      <w:tr w14:paraId="0D0FA616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90" w:hRule="atLeast"/>
          <w:jc w:val="center"/>
        </w:trPr>
        <w:tc>
          <w:tcPr>
            <w:tcW w:w="741" w:type="pc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60E5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Rate_delivery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03F8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4.435**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769B4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3.870**</w:t>
            </w:r>
          </w:p>
        </w:tc>
        <w:tc>
          <w:tcPr>
            <w:tcW w:w="1104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4CCE3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Rate_delivery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6A25BD5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2.004***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 w14:paraId="19C69272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8.929***</w:t>
            </w:r>
          </w:p>
        </w:tc>
      </w:tr>
      <w:tr w14:paraId="025825C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F1C3A2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173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(1.870)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E99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(1.910)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794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FE5481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(0.466)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B938E2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(2.742)</w:t>
            </w:r>
          </w:p>
        </w:tc>
      </w:tr>
      <w:tr w14:paraId="0C70CE52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C10510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6D2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BD3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953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0F3FD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51949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54911B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51949</w:t>
            </w:r>
          </w:p>
        </w:tc>
      </w:tr>
      <w:tr w14:paraId="4C60438A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51CA66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76EDC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0.530</w:t>
            </w:r>
          </w:p>
        </w:tc>
        <w:tc>
          <w:tcPr>
            <w:tcW w:w="78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1536E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0.487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33597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4BD20526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0.171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 w14:paraId="2AC20CAF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0.075</w:t>
            </w:r>
          </w:p>
        </w:tc>
      </w:tr>
      <w:tr w14:paraId="39353F7E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219E8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变换样本选择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删除直辖市样本</w:t>
            </w:r>
          </w:p>
        </w:tc>
      </w:tr>
      <w:tr w14:paraId="635FA048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</w:tcBorders>
            <w:vAlign w:val="center"/>
          </w:tcPr>
          <w:p w14:paraId="54B86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single" w:color="auto" w:sz="4" w:space="0"/>
            </w:tcBorders>
            <w:vAlign w:val="top"/>
          </w:tcPr>
          <w:p w14:paraId="2C30F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0.687**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451C5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0.628*</w:t>
            </w:r>
          </w:p>
        </w:tc>
        <w:tc>
          <w:tcPr>
            <w:tcW w:w="1104" w:type="pct"/>
            <w:tcBorders>
              <w:top w:val="single" w:color="auto" w:sz="4" w:space="0"/>
            </w:tcBorders>
            <w:vAlign w:val="top"/>
          </w:tcPr>
          <w:p w14:paraId="767E2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31DBF956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0.330***</w:t>
            </w:r>
          </w:p>
        </w:tc>
        <w:tc>
          <w:tcPr>
            <w:tcW w:w="792" w:type="pct"/>
            <w:tcBorders>
              <w:top w:val="single" w:color="auto" w:sz="4" w:space="0"/>
            </w:tcBorders>
            <w:vAlign w:val="top"/>
          </w:tcPr>
          <w:p w14:paraId="19EC0721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1.396***</w:t>
            </w:r>
          </w:p>
        </w:tc>
      </w:tr>
      <w:tr w14:paraId="174361A6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</w:tcPr>
          <w:p w14:paraId="0AF115A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6" w:type="pct"/>
            <w:vAlign w:val="top"/>
          </w:tcPr>
          <w:p w14:paraId="24B6C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(0.318)</w:t>
            </w:r>
          </w:p>
        </w:tc>
        <w:tc>
          <w:tcPr>
            <w:tcW w:w="787" w:type="pct"/>
            <w:vAlign w:val="top"/>
          </w:tcPr>
          <w:p w14:paraId="307F1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(0.330)</w:t>
            </w:r>
          </w:p>
        </w:tc>
        <w:tc>
          <w:tcPr>
            <w:tcW w:w="1104" w:type="pct"/>
            <w:vAlign w:val="top"/>
          </w:tcPr>
          <w:p w14:paraId="36443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vAlign w:val="top"/>
          </w:tcPr>
          <w:p w14:paraId="299FA477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(0.080)</w:t>
            </w:r>
          </w:p>
        </w:tc>
        <w:tc>
          <w:tcPr>
            <w:tcW w:w="792" w:type="pct"/>
            <w:vAlign w:val="top"/>
          </w:tcPr>
          <w:p w14:paraId="64DF77A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(0.468)</w:t>
            </w:r>
          </w:p>
        </w:tc>
      </w:tr>
      <w:tr w14:paraId="1170A52A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center"/>
          </w:tcPr>
          <w:p w14:paraId="0693865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</w:tcPr>
          <w:p w14:paraId="1ADB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293</w:t>
            </w:r>
          </w:p>
        </w:tc>
        <w:tc>
          <w:tcPr>
            <w:tcW w:w="787" w:type="pct"/>
          </w:tcPr>
          <w:p w14:paraId="6DB78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293</w:t>
            </w:r>
          </w:p>
        </w:tc>
        <w:tc>
          <w:tcPr>
            <w:tcW w:w="1104" w:type="pct"/>
            <w:vAlign w:val="center"/>
          </w:tcPr>
          <w:p w14:paraId="57F56A4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vAlign w:val="top"/>
          </w:tcPr>
          <w:p w14:paraId="57544382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45956</w:t>
            </w:r>
          </w:p>
        </w:tc>
        <w:tc>
          <w:tcPr>
            <w:tcW w:w="792" w:type="pct"/>
            <w:vAlign w:val="top"/>
          </w:tcPr>
          <w:p w14:paraId="70CB6121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45956</w:t>
            </w:r>
          </w:p>
        </w:tc>
      </w:tr>
      <w:tr w14:paraId="6EE7D14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2F89D29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bottom w:val="single" w:color="auto" w:sz="4" w:space="0"/>
            </w:tcBorders>
            <w:vAlign w:val="top"/>
          </w:tcPr>
          <w:p w14:paraId="6EF51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0.529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135E9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0.488</w:t>
            </w:r>
          </w:p>
        </w:tc>
        <w:tc>
          <w:tcPr>
            <w:tcW w:w="1104" w:type="pct"/>
            <w:tcBorders>
              <w:bottom w:val="single" w:color="auto" w:sz="4" w:space="0"/>
            </w:tcBorders>
            <w:vAlign w:val="center"/>
          </w:tcPr>
          <w:p w14:paraId="6372B90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218816F6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0.165</w:t>
            </w:r>
          </w:p>
        </w:tc>
        <w:tc>
          <w:tcPr>
            <w:tcW w:w="792" w:type="pct"/>
            <w:tcBorders>
              <w:bottom w:val="single" w:color="auto" w:sz="4" w:space="0"/>
            </w:tcBorders>
            <w:vAlign w:val="top"/>
          </w:tcPr>
          <w:p w14:paraId="6380EA06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0.068</w:t>
            </w:r>
          </w:p>
        </w:tc>
      </w:tr>
      <w:tr w14:paraId="7D7BB7AD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vAlign w:val="center"/>
          </w:tcPr>
          <w:p w14:paraId="6B9F15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变换样本选择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删除直辖市</w:t>
            </w: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和省会城市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样本</w:t>
            </w:r>
          </w:p>
        </w:tc>
      </w:tr>
      <w:tr w14:paraId="5BAEEFEB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nil"/>
            </w:tcBorders>
            <w:vAlign w:val="center"/>
          </w:tcPr>
          <w:p w14:paraId="0679A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bottom w:val="nil"/>
            </w:tcBorders>
            <w:vAlign w:val="top"/>
          </w:tcPr>
          <w:p w14:paraId="389A6D0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0.881***</w:t>
            </w:r>
          </w:p>
        </w:tc>
        <w:tc>
          <w:tcPr>
            <w:tcW w:w="787" w:type="pct"/>
            <w:tcBorders>
              <w:bottom w:val="nil"/>
            </w:tcBorders>
            <w:vAlign w:val="top"/>
          </w:tcPr>
          <w:p w14:paraId="31449F9A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0.980***</w:t>
            </w:r>
          </w:p>
        </w:tc>
        <w:tc>
          <w:tcPr>
            <w:tcW w:w="1104" w:type="pct"/>
            <w:tcBorders>
              <w:bottom w:val="nil"/>
            </w:tcBorders>
            <w:vAlign w:val="top"/>
          </w:tcPr>
          <w:p w14:paraId="1CB91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bottom w:val="nil"/>
            </w:tcBorders>
            <w:vAlign w:val="top"/>
          </w:tcPr>
          <w:p w14:paraId="3451306C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0.443***</w:t>
            </w:r>
          </w:p>
        </w:tc>
        <w:tc>
          <w:tcPr>
            <w:tcW w:w="792" w:type="pct"/>
            <w:tcBorders>
              <w:bottom w:val="nil"/>
            </w:tcBorders>
            <w:vAlign w:val="top"/>
          </w:tcPr>
          <w:p w14:paraId="129D3B0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1.725***</w:t>
            </w:r>
          </w:p>
        </w:tc>
      </w:tr>
      <w:tr w14:paraId="179CE10C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E11A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EB704C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(0.210)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2B383E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(0.261)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339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E49C5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(0.054)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7070F8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(0.434)</w:t>
            </w:r>
          </w:p>
        </w:tc>
      </w:tr>
      <w:tr w14:paraId="1F3DCFE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261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351D63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227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70465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227</w:t>
            </w:r>
          </w:p>
        </w:tc>
        <w:tc>
          <w:tcPr>
            <w:tcW w:w="11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1934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C4332E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39283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1E80D2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39283</w:t>
            </w:r>
          </w:p>
        </w:tc>
      </w:tr>
      <w:tr w14:paraId="559A63C4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nil"/>
              <w:bottom w:val="single" w:color="auto" w:sz="4" w:space="0"/>
            </w:tcBorders>
            <w:vAlign w:val="center"/>
          </w:tcPr>
          <w:p w14:paraId="7645032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top w:val="nil"/>
              <w:bottom w:val="single" w:color="auto" w:sz="4" w:space="0"/>
            </w:tcBorders>
            <w:vAlign w:val="top"/>
          </w:tcPr>
          <w:p w14:paraId="757BB45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0.530</w:t>
            </w:r>
          </w:p>
        </w:tc>
        <w:tc>
          <w:tcPr>
            <w:tcW w:w="787" w:type="pct"/>
            <w:tcBorders>
              <w:top w:val="nil"/>
              <w:bottom w:val="single" w:color="auto" w:sz="4" w:space="0"/>
            </w:tcBorders>
            <w:vAlign w:val="top"/>
          </w:tcPr>
          <w:p w14:paraId="776FF00F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0.511</w:t>
            </w:r>
          </w:p>
        </w:tc>
        <w:tc>
          <w:tcPr>
            <w:tcW w:w="1104" w:type="pct"/>
            <w:tcBorders>
              <w:top w:val="nil"/>
              <w:bottom w:val="single" w:color="auto" w:sz="4" w:space="0"/>
            </w:tcBorders>
            <w:vAlign w:val="center"/>
          </w:tcPr>
          <w:p w14:paraId="477FC4D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top w:val="nil"/>
              <w:bottom w:val="single" w:color="auto" w:sz="4" w:space="0"/>
            </w:tcBorders>
            <w:vAlign w:val="top"/>
          </w:tcPr>
          <w:p w14:paraId="1AEB297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0.195</w:t>
            </w:r>
          </w:p>
        </w:tc>
        <w:tc>
          <w:tcPr>
            <w:tcW w:w="792" w:type="pct"/>
            <w:tcBorders>
              <w:top w:val="nil"/>
              <w:bottom w:val="single" w:color="auto" w:sz="4" w:space="0"/>
            </w:tcBorders>
            <w:vAlign w:val="top"/>
          </w:tcPr>
          <w:p w14:paraId="17ABBAB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0.062</w:t>
            </w:r>
          </w:p>
        </w:tc>
      </w:tr>
      <w:tr w14:paraId="74FFFAA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vAlign w:val="center"/>
          </w:tcPr>
          <w:p w14:paraId="0E123F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变换样本选择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删除2008年样本</w:t>
            </w:r>
          </w:p>
        </w:tc>
      </w:tr>
      <w:tr w14:paraId="597CBA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</w:tcBorders>
            <w:vAlign w:val="center"/>
          </w:tcPr>
          <w:p w14:paraId="0B96F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single" w:color="auto" w:sz="4" w:space="0"/>
            </w:tcBorders>
            <w:vAlign w:val="top"/>
          </w:tcPr>
          <w:p w14:paraId="720F1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0.827**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6CF0C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0.659*</w:t>
            </w:r>
          </w:p>
        </w:tc>
        <w:tc>
          <w:tcPr>
            <w:tcW w:w="1104" w:type="pct"/>
            <w:tcBorders>
              <w:top w:val="single" w:color="auto" w:sz="4" w:space="0"/>
            </w:tcBorders>
            <w:vAlign w:val="top"/>
          </w:tcPr>
          <w:p w14:paraId="7DAB6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370560C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0.310***</w:t>
            </w:r>
          </w:p>
        </w:tc>
        <w:tc>
          <w:tcPr>
            <w:tcW w:w="792" w:type="pct"/>
            <w:tcBorders>
              <w:top w:val="single" w:color="auto" w:sz="4" w:space="0"/>
            </w:tcBorders>
            <w:vAlign w:val="top"/>
          </w:tcPr>
          <w:p w14:paraId="6C2A905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1.364***</w:t>
            </w:r>
          </w:p>
        </w:tc>
      </w:tr>
      <w:tr w14:paraId="15ECE6B0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top"/>
          </w:tcPr>
          <w:p w14:paraId="04412A0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6" w:type="pct"/>
            <w:vAlign w:val="top"/>
          </w:tcPr>
          <w:p w14:paraId="2E53E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(0.332)</w:t>
            </w:r>
          </w:p>
        </w:tc>
        <w:tc>
          <w:tcPr>
            <w:tcW w:w="787" w:type="pct"/>
            <w:vAlign w:val="top"/>
          </w:tcPr>
          <w:p w14:paraId="1477E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(0.337)</w:t>
            </w:r>
          </w:p>
        </w:tc>
        <w:tc>
          <w:tcPr>
            <w:tcW w:w="1104" w:type="pct"/>
            <w:vAlign w:val="top"/>
          </w:tcPr>
          <w:p w14:paraId="3E5A6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vAlign w:val="top"/>
          </w:tcPr>
          <w:p w14:paraId="33E2830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(0.076)</w:t>
            </w:r>
          </w:p>
        </w:tc>
        <w:tc>
          <w:tcPr>
            <w:tcW w:w="792" w:type="pct"/>
            <w:vAlign w:val="top"/>
          </w:tcPr>
          <w:p w14:paraId="27D22C02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(0.445)</w:t>
            </w:r>
          </w:p>
        </w:tc>
      </w:tr>
      <w:tr w14:paraId="1E4CC44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center"/>
          </w:tcPr>
          <w:p w14:paraId="6842BCE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vAlign w:val="top"/>
          </w:tcPr>
          <w:p w14:paraId="5C66C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251</w:t>
            </w:r>
          </w:p>
        </w:tc>
        <w:tc>
          <w:tcPr>
            <w:tcW w:w="787" w:type="pct"/>
            <w:vAlign w:val="top"/>
          </w:tcPr>
          <w:p w14:paraId="61CF0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251</w:t>
            </w:r>
          </w:p>
        </w:tc>
        <w:tc>
          <w:tcPr>
            <w:tcW w:w="1104" w:type="pct"/>
            <w:vAlign w:val="center"/>
          </w:tcPr>
          <w:p w14:paraId="450AA4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vAlign w:val="top"/>
          </w:tcPr>
          <w:p w14:paraId="337BB2D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51054</w:t>
            </w:r>
          </w:p>
        </w:tc>
        <w:tc>
          <w:tcPr>
            <w:tcW w:w="792" w:type="pct"/>
            <w:vAlign w:val="top"/>
          </w:tcPr>
          <w:p w14:paraId="7762907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51054</w:t>
            </w:r>
          </w:p>
        </w:tc>
      </w:tr>
      <w:tr w14:paraId="5C14CC3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577CEF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bottom w:val="single" w:color="auto" w:sz="4" w:space="0"/>
            </w:tcBorders>
            <w:vAlign w:val="top"/>
          </w:tcPr>
          <w:p w14:paraId="0008B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0.583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1417E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0.551</w:t>
            </w:r>
          </w:p>
        </w:tc>
        <w:tc>
          <w:tcPr>
            <w:tcW w:w="1104" w:type="pct"/>
            <w:tcBorders>
              <w:bottom w:val="single" w:color="auto" w:sz="4" w:space="0"/>
            </w:tcBorders>
            <w:vAlign w:val="center"/>
          </w:tcPr>
          <w:p w14:paraId="385AFB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15E0ADF1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0.172</w:t>
            </w:r>
          </w:p>
        </w:tc>
        <w:tc>
          <w:tcPr>
            <w:tcW w:w="792" w:type="pct"/>
            <w:tcBorders>
              <w:bottom w:val="single" w:color="auto" w:sz="4" w:space="0"/>
            </w:tcBorders>
            <w:vAlign w:val="top"/>
          </w:tcPr>
          <w:p w14:paraId="7AD7DD33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0.074</w:t>
            </w:r>
          </w:p>
        </w:tc>
      </w:tr>
      <w:tr w14:paraId="423599E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vAlign w:val="center"/>
          </w:tcPr>
          <w:p w14:paraId="64D284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变换样本选择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删除累积站点数目为0样本</w:t>
            </w:r>
          </w:p>
        </w:tc>
      </w:tr>
      <w:tr w14:paraId="212799BE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</w:tcBorders>
            <w:vAlign w:val="center"/>
          </w:tcPr>
          <w:p w14:paraId="67E84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single" w:color="auto" w:sz="4" w:space="0"/>
            </w:tcBorders>
            <w:vAlign w:val="top"/>
          </w:tcPr>
          <w:p w14:paraId="14856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0.799***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2BF34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0.627**</w:t>
            </w:r>
          </w:p>
        </w:tc>
        <w:tc>
          <w:tcPr>
            <w:tcW w:w="1104" w:type="pct"/>
            <w:tcBorders>
              <w:top w:val="single" w:color="auto" w:sz="4" w:space="0"/>
            </w:tcBorders>
            <w:vAlign w:val="top"/>
          </w:tcPr>
          <w:p w14:paraId="71717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5415C841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0.294***</w:t>
            </w:r>
          </w:p>
        </w:tc>
        <w:tc>
          <w:tcPr>
            <w:tcW w:w="792" w:type="pct"/>
            <w:tcBorders>
              <w:top w:val="single" w:color="auto" w:sz="4" w:space="0"/>
            </w:tcBorders>
            <w:vAlign w:val="top"/>
          </w:tcPr>
          <w:p w14:paraId="47480CC3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1.359***</w:t>
            </w:r>
          </w:p>
        </w:tc>
      </w:tr>
      <w:tr w14:paraId="3B46F2D0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top"/>
          </w:tcPr>
          <w:p w14:paraId="19FA99D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6" w:type="pct"/>
            <w:vAlign w:val="top"/>
          </w:tcPr>
          <w:p w14:paraId="46336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(0.297)</w:t>
            </w:r>
          </w:p>
        </w:tc>
        <w:tc>
          <w:tcPr>
            <w:tcW w:w="787" w:type="pct"/>
            <w:vAlign w:val="top"/>
          </w:tcPr>
          <w:p w14:paraId="1BC73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(0.283)</w:t>
            </w:r>
          </w:p>
        </w:tc>
        <w:tc>
          <w:tcPr>
            <w:tcW w:w="1104" w:type="pct"/>
            <w:vAlign w:val="top"/>
          </w:tcPr>
          <w:p w14:paraId="5B103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7" w:type="pct"/>
            <w:vAlign w:val="top"/>
          </w:tcPr>
          <w:p w14:paraId="4990A0C4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(0.080)</w:t>
            </w:r>
          </w:p>
        </w:tc>
        <w:tc>
          <w:tcPr>
            <w:tcW w:w="792" w:type="pct"/>
            <w:vAlign w:val="top"/>
          </w:tcPr>
          <w:p w14:paraId="217B625B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(0.462)</w:t>
            </w:r>
          </w:p>
        </w:tc>
      </w:tr>
      <w:tr w14:paraId="29EF9E30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center"/>
          </w:tcPr>
          <w:p w14:paraId="39C33B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vAlign w:val="top"/>
          </w:tcPr>
          <w:p w14:paraId="1D963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214</w:t>
            </w:r>
          </w:p>
        </w:tc>
        <w:tc>
          <w:tcPr>
            <w:tcW w:w="787" w:type="pct"/>
            <w:vAlign w:val="top"/>
          </w:tcPr>
          <w:p w14:paraId="09B23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214</w:t>
            </w:r>
          </w:p>
        </w:tc>
        <w:tc>
          <w:tcPr>
            <w:tcW w:w="1104" w:type="pct"/>
            <w:vAlign w:val="center"/>
          </w:tcPr>
          <w:p w14:paraId="37161C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7" w:type="pct"/>
            <w:vAlign w:val="top"/>
          </w:tcPr>
          <w:p w14:paraId="251C786F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42401</w:t>
            </w:r>
          </w:p>
        </w:tc>
        <w:tc>
          <w:tcPr>
            <w:tcW w:w="792" w:type="pct"/>
            <w:vAlign w:val="top"/>
          </w:tcPr>
          <w:p w14:paraId="432A8A08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42401</w:t>
            </w:r>
          </w:p>
        </w:tc>
      </w:tr>
      <w:tr w14:paraId="77F7004E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547BDC6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bottom w:val="single" w:color="auto" w:sz="4" w:space="0"/>
            </w:tcBorders>
            <w:vAlign w:val="top"/>
          </w:tcPr>
          <w:p w14:paraId="1585A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0.530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3F6FA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0.447</w:t>
            </w:r>
          </w:p>
        </w:tc>
        <w:tc>
          <w:tcPr>
            <w:tcW w:w="1104" w:type="pct"/>
            <w:tcBorders>
              <w:bottom w:val="single" w:color="auto" w:sz="4" w:space="0"/>
            </w:tcBorders>
            <w:vAlign w:val="center"/>
          </w:tcPr>
          <w:p w14:paraId="3F7C2D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top"/>
          </w:tcPr>
          <w:p w14:paraId="4F1A58D7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0.161</w:t>
            </w:r>
          </w:p>
        </w:tc>
        <w:tc>
          <w:tcPr>
            <w:tcW w:w="792" w:type="pct"/>
            <w:tcBorders>
              <w:bottom w:val="single" w:color="auto" w:sz="4" w:space="0"/>
            </w:tcBorders>
            <w:vAlign w:val="top"/>
          </w:tcPr>
          <w:p w14:paraId="51CF5E48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0.072</w:t>
            </w:r>
          </w:p>
        </w:tc>
      </w:tr>
      <w:tr w14:paraId="3AE7034E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vAlign w:val="center"/>
          </w:tcPr>
          <w:p w14:paraId="325FC0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变换样本选择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删除健康状况欠佳的样本</w:t>
            </w:r>
          </w:p>
        </w:tc>
      </w:tr>
      <w:tr w14:paraId="06C2C478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</w:tcBorders>
            <w:vAlign w:val="center"/>
          </w:tcPr>
          <w:p w14:paraId="4BDE5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6" w:type="pct"/>
            <w:tcBorders>
              <w:top w:val="single" w:color="auto" w:sz="4" w:space="0"/>
            </w:tcBorders>
            <w:vAlign w:val="top"/>
          </w:tcPr>
          <w:p w14:paraId="5BE5D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0.859***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251AF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1.520***</w:t>
            </w:r>
          </w:p>
        </w:tc>
        <w:tc>
          <w:tcPr>
            <w:tcW w:w="1104" w:type="pct"/>
            <w:tcBorders>
              <w:top w:val="single" w:color="auto" w:sz="4" w:space="0"/>
            </w:tcBorders>
            <w:vAlign w:val="top"/>
          </w:tcPr>
          <w:p w14:paraId="57746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Male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ict</w:t>
            </w:r>
            <m:oMath>
              <m:r>
                <m:rPr/>
                <w:rPr>
                  <w:rFonts w:ascii="Cambria Math" w:hAnsi="Cambria Math" w:cs="Times New Roman"/>
                  <w:color w:val="auto"/>
                  <w:sz w:val="18"/>
                  <w:szCs w:val="18"/>
                  <w:highlight w:val="none"/>
                </w:rPr>
                <m:t>×</m:t>
              </m:r>
            </m:oMath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lang w:val="en-US" w:eastAsia="zh-CN"/>
              </w:rPr>
              <w:t>Delivery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 w:val="18"/>
                <w:szCs w:val="18"/>
                <w:highlight w:val="none"/>
                <w:vertAlign w:val="subscript"/>
                <w:lang w:val="en-US" w:eastAsia="zh-CN"/>
              </w:rPr>
              <w:t>ct</w:t>
            </w:r>
          </w:p>
        </w:tc>
        <w:tc>
          <w:tcPr>
            <w:tcW w:w="787" w:type="pct"/>
            <w:tcBorders>
              <w:top w:val="single" w:color="auto" w:sz="4" w:space="0"/>
            </w:tcBorders>
            <w:vAlign w:val="top"/>
          </w:tcPr>
          <w:p w14:paraId="2BE6226E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0.317***</w:t>
            </w:r>
          </w:p>
        </w:tc>
        <w:tc>
          <w:tcPr>
            <w:tcW w:w="792" w:type="pct"/>
            <w:tcBorders>
              <w:top w:val="single" w:color="auto" w:sz="4" w:space="0"/>
            </w:tcBorders>
            <w:vAlign w:val="top"/>
          </w:tcPr>
          <w:p w14:paraId="7127A9DB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1.349***</w:t>
            </w:r>
          </w:p>
        </w:tc>
      </w:tr>
      <w:tr w14:paraId="4BE920BC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top"/>
          </w:tcPr>
          <w:p w14:paraId="2E2DA3C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86" w:type="pct"/>
            <w:vAlign w:val="top"/>
          </w:tcPr>
          <w:p w14:paraId="181D4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(0.227)</w:t>
            </w:r>
          </w:p>
        </w:tc>
        <w:tc>
          <w:tcPr>
            <w:tcW w:w="0" w:type="auto"/>
            <w:vAlign w:val="top"/>
          </w:tcPr>
          <w:p w14:paraId="0A3AC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(0.544)</w:t>
            </w:r>
          </w:p>
        </w:tc>
        <w:tc>
          <w:tcPr>
            <w:tcW w:w="0" w:type="auto"/>
            <w:vAlign w:val="top"/>
          </w:tcPr>
          <w:p w14:paraId="5D890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A8AE5D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(0.074)</w:t>
            </w:r>
          </w:p>
        </w:tc>
        <w:tc>
          <w:tcPr>
            <w:tcW w:w="0" w:type="auto"/>
            <w:vAlign w:val="top"/>
          </w:tcPr>
          <w:p w14:paraId="35EAFA69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(0.428)</w:t>
            </w:r>
          </w:p>
        </w:tc>
      </w:tr>
      <w:tr w14:paraId="03AB208E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center"/>
          </w:tcPr>
          <w:p w14:paraId="4D84451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786" w:type="pct"/>
            <w:vAlign w:val="top"/>
          </w:tcPr>
          <w:p w14:paraId="27ADA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0" w:type="auto"/>
            <w:vAlign w:val="top"/>
          </w:tcPr>
          <w:p w14:paraId="16DB5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0" w:type="auto"/>
            <w:vAlign w:val="center"/>
          </w:tcPr>
          <w:p w14:paraId="0E45BA2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N</w:t>
            </w:r>
          </w:p>
        </w:tc>
        <w:tc>
          <w:tcPr>
            <w:tcW w:w="0" w:type="auto"/>
            <w:vAlign w:val="top"/>
          </w:tcPr>
          <w:p w14:paraId="7F7A5C7B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50959</w:t>
            </w:r>
          </w:p>
        </w:tc>
        <w:tc>
          <w:tcPr>
            <w:tcW w:w="0" w:type="auto"/>
            <w:vAlign w:val="top"/>
          </w:tcPr>
          <w:p w14:paraId="25AEBD15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50959</w:t>
            </w:r>
          </w:p>
        </w:tc>
      </w:tr>
      <w:tr w14:paraId="2B1A525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E915F5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786" w:type="pct"/>
            <w:tcBorders>
              <w:bottom w:val="single" w:color="auto" w:sz="4" w:space="0"/>
            </w:tcBorders>
            <w:vAlign w:val="top"/>
          </w:tcPr>
          <w:p w14:paraId="7A1BF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0.501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top"/>
          </w:tcPr>
          <w:p w14:paraId="2784D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Lines="0" w:afterLines="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0.576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22F3683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R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vertAlign w:val="superscript"/>
              </w:rPr>
              <w:t>2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top"/>
          </w:tcPr>
          <w:p w14:paraId="6C56B8E7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0.169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top"/>
          </w:tcPr>
          <w:p w14:paraId="231BBC8E">
            <w:pPr>
              <w:spacing w:beforeLines="0" w:afterLines="0"/>
              <w:ind w:firstLine="0" w:firstLineChars="0"/>
              <w:jc w:val="center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auto"/>
                <w:sz w:val="18"/>
                <w:szCs w:val="18"/>
                <w:highlight w:val="none"/>
              </w:rPr>
              <w:t>0.075</w:t>
            </w:r>
          </w:p>
        </w:tc>
      </w:tr>
      <w:tr w14:paraId="7F68CB0B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top w:val="single" w:color="auto" w:sz="4" w:space="0"/>
            </w:tcBorders>
            <w:vAlign w:val="center"/>
          </w:tcPr>
          <w:p w14:paraId="4FC9D35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控制变量</w:t>
            </w:r>
          </w:p>
        </w:tc>
        <w:tc>
          <w:tcPr>
            <w:tcW w:w="786" w:type="pct"/>
            <w:tcBorders>
              <w:top w:val="single" w:color="auto" w:sz="4" w:space="0"/>
            </w:tcBorders>
            <w:vAlign w:val="center"/>
          </w:tcPr>
          <w:p w14:paraId="525F9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16C87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2C27E35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控制变量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68CA6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0549B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</w:tr>
      <w:tr w14:paraId="5235D918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vAlign w:val="center"/>
          </w:tcPr>
          <w:p w14:paraId="6E60B08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城市固定</w:t>
            </w:r>
          </w:p>
        </w:tc>
        <w:tc>
          <w:tcPr>
            <w:tcW w:w="786" w:type="pct"/>
            <w:vAlign w:val="center"/>
          </w:tcPr>
          <w:p w14:paraId="795D1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vAlign w:val="center"/>
          </w:tcPr>
          <w:p w14:paraId="768A3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vAlign w:val="center"/>
          </w:tcPr>
          <w:p w14:paraId="4920CF0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城市固定</w:t>
            </w:r>
          </w:p>
        </w:tc>
        <w:tc>
          <w:tcPr>
            <w:tcW w:w="0" w:type="auto"/>
            <w:vAlign w:val="center"/>
          </w:tcPr>
          <w:p w14:paraId="1026C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vAlign w:val="center"/>
          </w:tcPr>
          <w:p w14:paraId="1406D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</w:tr>
      <w:tr w14:paraId="5A8981B8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270" w:hRule="atLeast"/>
          <w:jc w:val="center"/>
        </w:trPr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E1BBE3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年份固定</w:t>
            </w:r>
          </w:p>
        </w:tc>
        <w:tc>
          <w:tcPr>
            <w:tcW w:w="786" w:type="pct"/>
            <w:tcBorders>
              <w:bottom w:val="single" w:color="auto" w:sz="4" w:space="0"/>
            </w:tcBorders>
            <w:vAlign w:val="center"/>
          </w:tcPr>
          <w:p w14:paraId="208A6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0331D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34E5026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年份固定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7AB98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4F79B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是</w:t>
            </w:r>
          </w:p>
        </w:tc>
      </w:tr>
    </w:tbl>
    <w:p w14:paraId="6408CF44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9BDA6"/>
    <w:multiLevelType w:val="singleLevel"/>
    <w:tmpl w:val="7F69BDA6"/>
    <w:lvl w:ilvl="0" w:tentative="0">
      <w:start w:val="1"/>
      <w:numFmt w:val="decimal"/>
      <w:suff w:val="space"/>
      <w:lvlText w:val="(%1)"/>
      <w:lvlJc w:val="left"/>
      <w:rPr>
        <w:rFonts w:hint="default"/>
        <w:i w:val="0"/>
        <w:i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ZGQ5ZWQ1MmJhMGZkNmYwMjg3MjM4MGI4MGE3YjQifQ=="/>
  </w:docVars>
  <w:rsids>
    <w:rsidRoot w:val="00000000"/>
    <w:rsid w:val="30573100"/>
    <w:rsid w:val="39FC2661"/>
    <w:rsid w:val="4F891A19"/>
    <w:rsid w:val="591659E6"/>
    <w:rsid w:val="592B204C"/>
    <w:rsid w:val="61D6107A"/>
    <w:rsid w:val="76B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ind w:firstLine="803" w:firstLineChars="200"/>
      <w:outlineLvl w:val="2"/>
    </w:pPr>
    <w:rPr>
      <w:rFonts w:ascii="Times New Roman" w:hAnsi="Times New Roman" w:eastAsia="宋体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1584</Words>
  <Characters>2531</Characters>
  <Lines>0</Lines>
  <Paragraphs>0</Paragraphs>
  <TotalTime>0</TotalTime>
  <ScaleCrop>false</ScaleCrop>
  <LinksUpToDate>false</LinksUpToDate>
  <CharactersWithSpaces>2537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2023-04-09T15:31:00Z</dcterms:created>
  <dc:creator>Lenovo</dc:creator>
  <cp:lastModifiedBy>茗</cp:lastModifiedBy>
  <dcterms:modified xsi:type="dcterms:W3CDTF">2024-06-26T09:44:54Z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62DA795FC1CC427DB21E2CBC12AD03C1_13</vt:lpwstr>
  </property>
</Properties>
</file>